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7DA2" w14:textId="0AA62469" w:rsidR="0007087C" w:rsidRPr="00BC741E" w:rsidRDefault="0007087C" w:rsidP="00BC741E">
      <w:pPr>
        <w:rPr>
          <w:b/>
          <w:sz w:val="22"/>
          <w:szCs w:val="22"/>
        </w:rPr>
      </w:pPr>
    </w:p>
    <w:p w14:paraId="4D98F334" w14:textId="306E1136" w:rsidR="002014C3" w:rsidRPr="00BC741E" w:rsidRDefault="002014C3" w:rsidP="00BC741E">
      <w:pPr>
        <w:ind w:right="-450"/>
        <w:jc w:val="center"/>
        <w:rPr>
          <w:b/>
          <w:sz w:val="22"/>
          <w:szCs w:val="22"/>
          <w:lang w:val="en-US"/>
        </w:rPr>
      </w:pPr>
      <w:r w:rsidRPr="00BC741E">
        <w:rPr>
          <w:noProof/>
          <w:sz w:val="22"/>
          <w:szCs w:val="22"/>
          <w:lang w:val="en-US"/>
        </w:rPr>
        <w:drawing>
          <wp:inline distT="0" distB="0" distL="0" distR="0" wp14:anchorId="668F2CED" wp14:editId="1DBB6374">
            <wp:extent cx="1666875" cy="533400"/>
            <wp:effectExtent l="0" t="0" r="9525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9773" cy="5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41E">
        <w:rPr>
          <w:b/>
          <w:sz w:val="22"/>
          <w:szCs w:val="22"/>
          <w:lang w:val="en-US"/>
        </w:rPr>
        <w:tab/>
      </w:r>
      <w:r w:rsidRPr="00BC741E">
        <w:rPr>
          <w:b/>
          <w:sz w:val="22"/>
          <w:szCs w:val="22"/>
          <w:lang w:val="en-US"/>
        </w:rPr>
        <w:tab/>
      </w:r>
      <w:r w:rsidRPr="00BC741E">
        <w:rPr>
          <w:b/>
          <w:sz w:val="22"/>
          <w:szCs w:val="22"/>
          <w:lang w:val="en-US"/>
        </w:rPr>
        <w:tab/>
      </w:r>
      <w:r w:rsidRPr="00BC741E">
        <w:rPr>
          <w:b/>
          <w:sz w:val="22"/>
          <w:szCs w:val="22"/>
          <w:lang w:val="en-US"/>
        </w:rPr>
        <w:tab/>
      </w:r>
      <w:r w:rsidRPr="00BC741E">
        <w:rPr>
          <w:b/>
          <w:sz w:val="22"/>
          <w:szCs w:val="22"/>
          <w:lang w:val="en-US"/>
        </w:rPr>
        <w:tab/>
      </w:r>
      <w:r w:rsidRPr="00BC741E">
        <w:rPr>
          <w:b/>
          <w:sz w:val="22"/>
          <w:szCs w:val="22"/>
          <w:lang w:val="en-US"/>
        </w:rPr>
        <w:tab/>
      </w:r>
      <w:r w:rsidRPr="00BC741E">
        <w:rPr>
          <w:b/>
          <w:sz w:val="22"/>
          <w:szCs w:val="22"/>
          <w:lang w:val="en-US"/>
        </w:rPr>
        <w:tab/>
      </w:r>
      <w:r w:rsidRPr="00BC741E">
        <w:rPr>
          <w:noProof/>
          <w:sz w:val="22"/>
          <w:szCs w:val="22"/>
          <w:lang w:val="en-US"/>
        </w:rPr>
        <w:drawing>
          <wp:inline distT="0" distB="0" distL="0" distR="0" wp14:anchorId="38E32D70" wp14:editId="7E52E26C">
            <wp:extent cx="1233679" cy="564515"/>
            <wp:effectExtent l="0" t="0" r="0" b="6985"/>
            <wp:docPr id="1" name="Picture 15" descr="cid:image001.png@01D031CF.61CF20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cid:image001.png@01D031CF.61CF20E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00" cy="58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6F7A4" w14:textId="77777777" w:rsidR="002014C3" w:rsidRPr="00BC741E" w:rsidRDefault="002014C3" w:rsidP="00BC741E">
      <w:pPr>
        <w:jc w:val="center"/>
        <w:rPr>
          <w:b/>
          <w:sz w:val="22"/>
          <w:szCs w:val="22"/>
          <w:lang w:val="en-US"/>
        </w:rPr>
      </w:pPr>
    </w:p>
    <w:p w14:paraId="2D0C9567" w14:textId="697AD9B5" w:rsidR="00BC741E" w:rsidRPr="004B392A" w:rsidRDefault="002014C3" w:rsidP="004B392A">
      <w:pPr>
        <w:jc w:val="center"/>
        <w:rPr>
          <w:b/>
          <w:sz w:val="22"/>
          <w:szCs w:val="22"/>
          <w:lang w:val="en-US"/>
        </w:rPr>
      </w:pPr>
      <w:r w:rsidRPr="00BC741E">
        <w:rPr>
          <w:b/>
          <w:sz w:val="22"/>
          <w:szCs w:val="22"/>
          <w:lang w:val="en-US"/>
        </w:rPr>
        <w:t xml:space="preserve">Syphilis Interventions Toward Elimination (SITE) model </w:t>
      </w:r>
      <w:r w:rsidR="004B392A">
        <w:rPr>
          <w:b/>
          <w:sz w:val="22"/>
          <w:szCs w:val="22"/>
          <w:lang w:val="en-US"/>
        </w:rPr>
        <w:tab/>
      </w:r>
      <w:r w:rsidR="004B392A">
        <w:rPr>
          <w:b/>
          <w:sz w:val="22"/>
          <w:szCs w:val="22"/>
          <w:lang w:val="en-US"/>
        </w:rPr>
        <w:tab/>
      </w:r>
      <w:r w:rsidRPr="00BC741E">
        <w:rPr>
          <w:b/>
          <w:sz w:val="22"/>
          <w:szCs w:val="22"/>
          <w:lang w:val="en-US"/>
        </w:rPr>
        <w:br/>
        <w:t xml:space="preserve">– </w:t>
      </w:r>
      <w:r w:rsidRPr="00BC741E">
        <w:rPr>
          <w:b/>
          <w:sz w:val="22"/>
          <w:szCs w:val="22"/>
        </w:rPr>
        <w:t>Country data required for a national program scenario analysis</w:t>
      </w:r>
      <w:r w:rsidR="004B392A">
        <w:rPr>
          <w:b/>
          <w:sz w:val="22"/>
          <w:szCs w:val="22"/>
        </w:rPr>
        <w:tab/>
      </w:r>
      <w:r w:rsidR="004B392A">
        <w:rPr>
          <w:b/>
          <w:sz w:val="22"/>
          <w:szCs w:val="22"/>
        </w:rPr>
        <w:tab/>
      </w:r>
    </w:p>
    <w:p w14:paraId="2DBD7664" w14:textId="602A5B10" w:rsidR="002014C3" w:rsidRPr="00BC741E" w:rsidRDefault="002014C3" w:rsidP="00BC741E">
      <w:pPr>
        <w:jc w:val="center"/>
        <w:rPr>
          <w:bCs/>
          <w:i/>
          <w:iCs/>
          <w:sz w:val="22"/>
          <w:szCs w:val="22"/>
          <w:lang w:val="en-US"/>
        </w:rPr>
      </w:pPr>
      <w:r w:rsidRPr="00BC741E">
        <w:rPr>
          <w:bCs/>
          <w:i/>
          <w:iCs/>
          <w:sz w:val="22"/>
          <w:szCs w:val="22"/>
          <w:lang w:val="en-US"/>
        </w:rPr>
        <w:t xml:space="preserve">Version </w:t>
      </w:r>
      <w:r w:rsidR="00581FEB">
        <w:rPr>
          <w:bCs/>
          <w:i/>
          <w:iCs/>
          <w:sz w:val="22"/>
          <w:szCs w:val="22"/>
          <w:lang w:val="en-US"/>
        </w:rPr>
        <w:t>0</w:t>
      </w:r>
      <w:r w:rsidR="006F1A56">
        <w:rPr>
          <w:bCs/>
          <w:i/>
          <w:iCs/>
          <w:sz w:val="22"/>
          <w:szCs w:val="22"/>
          <w:lang w:val="en-US"/>
        </w:rPr>
        <w:t>9</w:t>
      </w:r>
      <w:r w:rsidRPr="00BC741E">
        <w:rPr>
          <w:bCs/>
          <w:i/>
          <w:iCs/>
          <w:sz w:val="22"/>
          <w:szCs w:val="22"/>
          <w:lang w:val="en-US"/>
        </w:rPr>
        <w:t xml:space="preserve"> Ju</w:t>
      </w:r>
      <w:r w:rsidR="00581FEB">
        <w:rPr>
          <w:bCs/>
          <w:i/>
          <w:iCs/>
          <w:sz w:val="22"/>
          <w:szCs w:val="22"/>
          <w:lang w:val="en-US"/>
        </w:rPr>
        <w:t>ly</w:t>
      </w:r>
      <w:r w:rsidRPr="00BC741E">
        <w:rPr>
          <w:bCs/>
          <w:i/>
          <w:iCs/>
          <w:sz w:val="22"/>
          <w:szCs w:val="22"/>
          <w:lang w:val="en-US"/>
        </w:rPr>
        <w:t xml:space="preserve"> 2020</w:t>
      </w:r>
      <w:r w:rsidR="004B392A">
        <w:rPr>
          <w:bCs/>
          <w:i/>
          <w:iCs/>
          <w:sz w:val="22"/>
          <w:szCs w:val="22"/>
          <w:lang w:val="en-US"/>
        </w:rPr>
        <w:tab/>
      </w:r>
      <w:r w:rsidR="004B392A">
        <w:rPr>
          <w:bCs/>
          <w:i/>
          <w:iCs/>
          <w:sz w:val="22"/>
          <w:szCs w:val="22"/>
          <w:lang w:val="en-US"/>
        </w:rPr>
        <w:tab/>
      </w:r>
      <w:r w:rsidR="004B392A">
        <w:rPr>
          <w:bCs/>
          <w:i/>
          <w:iCs/>
          <w:sz w:val="22"/>
          <w:szCs w:val="22"/>
          <w:lang w:val="en-US"/>
        </w:rPr>
        <w:tab/>
      </w:r>
      <w:r w:rsidR="004B392A">
        <w:rPr>
          <w:bCs/>
          <w:i/>
          <w:iCs/>
          <w:sz w:val="22"/>
          <w:szCs w:val="22"/>
          <w:lang w:val="en-US"/>
        </w:rPr>
        <w:tab/>
      </w:r>
      <w:r w:rsidR="004B392A">
        <w:rPr>
          <w:bCs/>
          <w:i/>
          <w:iCs/>
          <w:sz w:val="22"/>
          <w:szCs w:val="22"/>
          <w:lang w:val="en-US"/>
        </w:rPr>
        <w:tab/>
      </w:r>
      <w:r w:rsidR="004B392A">
        <w:rPr>
          <w:bCs/>
          <w:i/>
          <w:iCs/>
          <w:sz w:val="22"/>
          <w:szCs w:val="22"/>
          <w:lang w:val="en-US"/>
        </w:rPr>
        <w:tab/>
      </w:r>
      <w:r w:rsidR="004B392A">
        <w:rPr>
          <w:bCs/>
          <w:i/>
          <w:iCs/>
          <w:sz w:val="22"/>
          <w:szCs w:val="22"/>
          <w:lang w:val="en-US"/>
        </w:rPr>
        <w:tab/>
      </w:r>
      <w:r w:rsidR="004B392A">
        <w:rPr>
          <w:bCs/>
          <w:i/>
          <w:iCs/>
          <w:sz w:val="22"/>
          <w:szCs w:val="22"/>
          <w:lang w:val="en-US"/>
        </w:rPr>
        <w:tab/>
      </w:r>
      <w:r w:rsidR="004B392A" w:rsidRPr="004B392A">
        <w:rPr>
          <w:noProof/>
        </w:rPr>
        <w:t xml:space="preserve"> </w:t>
      </w:r>
      <w:r w:rsidR="004B392A">
        <w:rPr>
          <w:noProof/>
        </w:rPr>
        <w:drawing>
          <wp:inline distT="0" distB="0" distL="0" distR="0" wp14:anchorId="61A8E598" wp14:editId="277CEF22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D0D87" w14:textId="77777777" w:rsidR="002014C3" w:rsidRPr="00BC741E" w:rsidRDefault="002014C3" w:rsidP="00BC741E">
      <w:pPr>
        <w:rPr>
          <w:b/>
          <w:sz w:val="22"/>
          <w:szCs w:val="22"/>
        </w:rPr>
      </w:pPr>
    </w:p>
    <w:p w14:paraId="0C718AD1" w14:textId="2E3AEC9F" w:rsidR="00FA7E91" w:rsidRPr="00BC741E" w:rsidRDefault="00521CD6" w:rsidP="00BC741E">
      <w:pPr>
        <w:rPr>
          <w:b/>
          <w:sz w:val="22"/>
          <w:szCs w:val="22"/>
          <w:u w:val="single"/>
        </w:rPr>
      </w:pPr>
      <w:r w:rsidRPr="00BC741E">
        <w:rPr>
          <w:b/>
          <w:sz w:val="22"/>
          <w:szCs w:val="22"/>
          <w:u w:val="single"/>
        </w:rPr>
        <w:t xml:space="preserve">1. </w:t>
      </w:r>
      <w:r w:rsidR="00343CCA" w:rsidRPr="00BC741E">
        <w:rPr>
          <w:b/>
          <w:sz w:val="22"/>
          <w:szCs w:val="22"/>
          <w:u w:val="single"/>
        </w:rPr>
        <w:t>Introduction</w:t>
      </w:r>
    </w:p>
    <w:p w14:paraId="0C499DB8" w14:textId="77777777" w:rsidR="00531DA8" w:rsidRPr="00BC741E" w:rsidRDefault="002014C3" w:rsidP="00BC741E">
      <w:pPr>
        <w:rPr>
          <w:sz w:val="22"/>
          <w:szCs w:val="22"/>
        </w:rPr>
      </w:pPr>
      <w:r w:rsidRPr="00BC741E">
        <w:rPr>
          <w:bCs/>
          <w:i/>
          <w:iCs/>
          <w:sz w:val="22"/>
          <w:szCs w:val="22"/>
          <w:lang w:val="en-US"/>
        </w:rPr>
        <w:t xml:space="preserve">Syphilis Interventions Toward Elimination (SITE) </w:t>
      </w:r>
      <w:r w:rsidR="006E21E6" w:rsidRPr="00BC741E">
        <w:rPr>
          <w:sz w:val="22"/>
          <w:szCs w:val="22"/>
        </w:rPr>
        <w:t xml:space="preserve">is </w:t>
      </w:r>
      <w:r w:rsidR="008505AD" w:rsidRPr="00BC741E">
        <w:rPr>
          <w:sz w:val="22"/>
          <w:szCs w:val="22"/>
        </w:rPr>
        <w:t>a</w:t>
      </w:r>
      <w:r w:rsidR="00531DA8" w:rsidRPr="00BC741E">
        <w:rPr>
          <w:sz w:val="22"/>
          <w:szCs w:val="22"/>
        </w:rPr>
        <w:t xml:space="preserve"> mathematical</w:t>
      </w:r>
      <w:r w:rsidR="008505AD" w:rsidRPr="00BC741E">
        <w:rPr>
          <w:sz w:val="22"/>
          <w:szCs w:val="22"/>
        </w:rPr>
        <w:t xml:space="preserve"> model </w:t>
      </w:r>
      <w:r w:rsidRPr="00BC741E">
        <w:rPr>
          <w:sz w:val="22"/>
          <w:szCs w:val="22"/>
        </w:rPr>
        <w:t xml:space="preserve">that </w:t>
      </w:r>
      <w:r w:rsidR="006E21E6" w:rsidRPr="00BC741E">
        <w:rPr>
          <w:sz w:val="22"/>
          <w:szCs w:val="22"/>
        </w:rPr>
        <w:t>e</w:t>
      </w:r>
      <w:r w:rsidRPr="00BC741E">
        <w:rPr>
          <w:sz w:val="22"/>
          <w:szCs w:val="22"/>
        </w:rPr>
        <w:t>valuates</w:t>
      </w:r>
      <w:r w:rsidR="006E21E6" w:rsidRPr="00BC741E">
        <w:rPr>
          <w:sz w:val="22"/>
          <w:szCs w:val="22"/>
        </w:rPr>
        <w:t xml:space="preserve"> and project</w:t>
      </w:r>
      <w:r w:rsidRPr="00BC741E">
        <w:rPr>
          <w:sz w:val="22"/>
          <w:szCs w:val="22"/>
        </w:rPr>
        <w:t>s</w:t>
      </w:r>
      <w:r w:rsidR="008505AD" w:rsidRPr="00BC741E">
        <w:rPr>
          <w:sz w:val="22"/>
          <w:szCs w:val="22"/>
        </w:rPr>
        <w:t xml:space="preserve"> </w:t>
      </w:r>
      <w:r w:rsidRPr="00BC741E">
        <w:rPr>
          <w:sz w:val="22"/>
          <w:szCs w:val="22"/>
        </w:rPr>
        <w:t xml:space="preserve">the </w:t>
      </w:r>
      <w:r w:rsidR="00531DA8" w:rsidRPr="00BC741E">
        <w:rPr>
          <w:sz w:val="22"/>
          <w:szCs w:val="22"/>
        </w:rPr>
        <w:t xml:space="preserve">epidemiological </w:t>
      </w:r>
      <w:r w:rsidRPr="00BC741E">
        <w:rPr>
          <w:sz w:val="22"/>
          <w:szCs w:val="22"/>
        </w:rPr>
        <w:t xml:space="preserve">impact, cost and cost-effectiveness of syphilis treatment, prevention and screening interventions to control and eliminate syphilis transmission in a national adult population. </w:t>
      </w:r>
    </w:p>
    <w:p w14:paraId="152A0A96" w14:textId="77777777" w:rsidR="00531DA8" w:rsidRPr="00BC741E" w:rsidRDefault="00531DA8" w:rsidP="00BC741E">
      <w:pPr>
        <w:rPr>
          <w:sz w:val="22"/>
          <w:szCs w:val="22"/>
        </w:rPr>
      </w:pPr>
    </w:p>
    <w:p w14:paraId="40D4EFCC" w14:textId="37A05926" w:rsidR="00343CCA" w:rsidRPr="00BC741E" w:rsidRDefault="00282AB3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 xml:space="preserve">The model is still under development and will be piloted in July 2020 </w:t>
      </w:r>
      <w:r w:rsidR="002014C3" w:rsidRPr="00BC741E">
        <w:rPr>
          <w:sz w:val="22"/>
          <w:szCs w:val="22"/>
        </w:rPr>
        <w:t>with the governments and WHO country offices of Papua New Guinea and Peru</w:t>
      </w:r>
      <w:r w:rsidR="00512E68" w:rsidRPr="00BC741E">
        <w:rPr>
          <w:sz w:val="22"/>
          <w:szCs w:val="22"/>
        </w:rPr>
        <w:t xml:space="preserve">. </w:t>
      </w:r>
    </w:p>
    <w:p w14:paraId="4A15E320" w14:textId="44B72E4C" w:rsidR="00343CCA" w:rsidRPr="00BC741E" w:rsidRDefault="00343CCA" w:rsidP="00BC741E">
      <w:pPr>
        <w:rPr>
          <w:sz w:val="22"/>
          <w:szCs w:val="22"/>
        </w:rPr>
      </w:pPr>
    </w:p>
    <w:p w14:paraId="5BC4A216" w14:textId="7B4DC349" w:rsidR="002014C3" w:rsidRPr="00BC741E" w:rsidRDefault="002014C3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>This note details the country data required to calibrate the model to a national epidemic</w:t>
      </w:r>
      <w:r w:rsidR="00DE0D5A" w:rsidRPr="00BC741E">
        <w:rPr>
          <w:sz w:val="22"/>
          <w:szCs w:val="22"/>
        </w:rPr>
        <w:t xml:space="preserve">, reflecting past and current </w:t>
      </w:r>
      <w:r w:rsidRPr="00BC741E">
        <w:rPr>
          <w:sz w:val="22"/>
          <w:szCs w:val="22"/>
        </w:rPr>
        <w:t xml:space="preserve">control </w:t>
      </w:r>
      <w:r w:rsidR="00DE0D5A" w:rsidRPr="00BC741E">
        <w:rPr>
          <w:sz w:val="22"/>
          <w:szCs w:val="22"/>
        </w:rPr>
        <w:t>program efforts,</w:t>
      </w:r>
      <w:r w:rsidRPr="00BC741E">
        <w:rPr>
          <w:sz w:val="22"/>
          <w:szCs w:val="22"/>
        </w:rPr>
        <w:t xml:space="preserve"> as a basis for scenario projections to inform national control strategic </w:t>
      </w:r>
      <w:r w:rsidR="00282AB3" w:rsidRPr="00BC741E">
        <w:rPr>
          <w:sz w:val="22"/>
          <w:szCs w:val="22"/>
        </w:rPr>
        <w:t>planning</w:t>
      </w:r>
      <w:r w:rsidRPr="00BC741E">
        <w:rPr>
          <w:sz w:val="22"/>
          <w:szCs w:val="22"/>
        </w:rPr>
        <w:t xml:space="preserve"> and health impact goals and intervention service delivery targets</w:t>
      </w:r>
      <w:r w:rsidR="00282AB3" w:rsidRPr="00BC741E">
        <w:rPr>
          <w:sz w:val="22"/>
          <w:szCs w:val="22"/>
        </w:rPr>
        <w:t xml:space="preserve"> for syphilis</w:t>
      </w:r>
      <w:r w:rsidRPr="00BC741E">
        <w:rPr>
          <w:sz w:val="22"/>
          <w:szCs w:val="22"/>
        </w:rPr>
        <w:t>.</w:t>
      </w:r>
    </w:p>
    <w:p w14:paraId="5A11CAD2" w14:textId="779EB8FF" w:rsidR="00045479" w:rsidRPr="00BC741E" w:rsidRDefault="00045479" w:rsidP="00BC741E">
      <w:pPr>
        <w:rPr>
          <w:sz w:val="22"/>
          <w:szCs w:val="22"/>
        </w:rPr>
      </w:pPr>
    </w:p>
    <w:p w14:paraId="602A449D" w14:textId="439789DF" w:rsidR="00045479" w:rsidRPr="00BC741E" w:rsidRDefault="00045479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>The note does not cover sources and data for the model’s biomedical parameters, which are not specific to any country but rather global or regional</w:t>
      </w:r>
      <w:r w:rsidR="00282AB3" w:rsidRPr="00BC741E">
        <w:rPr>
          <w:sz w:val="22"/>
          <w:szCs w:val="22"/>
        </w:rPr>
        <w:t>.  The model</w:t>
      </w:r>
      <w:r w:rsidR="00662B51" w:rsidRPr="00BC741E">
        <w:rPr>
          <w:sz w:val="22"/>
          <w:szCs w:val="22"/>
        </w:rPr>
        <w:t>’</w:t>
      </w:r>
      <w:r w:rsidR="00282AB3" w:rsidRPr="00BC741E">
        <w:rPr>
          <w:sz w:val="22"/>
          <w:szCs w:val="22"/>
        </w:rPr>
        <w:t>s biomedical parameters are</w:t>
      </w:r>
      <w:r w:rsidRPr="00BC741E">
        <w:rPr>
          <w:sz w:val="22"/>
          <w:szCs w:val="22"/>
        </w:rPr>
        <w:t xml:space="preserve"> pre-filled with estimates based on global literature reviews and meta-analyses</w:t>
      </w:r>
      <w:r w:rsidR="004925DE" w:rsidRPr="00BC741E">
        <w:rPr>
          <w:sz w:val="22"/>
          <w:szCs w:val="22"/>
        </w:rPr>
        <w:t xml:space="preserve"> </w:t>
      </w:r>
      <w:r w:rsidR="00B1448A">
        <w:rPr>
          <w:sz w:val="22"/>
          <w:szCs w:val="22"/>
        </w:rPr>
        <w:fldChar w:fldCharType="begin"/>
      </w:r>
      <w:r w:rsidR="00B1448A">
        <w:rPr>
          <w:sz w:val="22"/>
          <w:szCs w:val="22"/>
        </w:rPr>
        <w:instrText xml:space="preserve"> ADDIN EN.CITE &lt;EndNote&gt;&lt;Cite&gt;&lt;Author&gt;Korenromp&lt;/Author&gt;&lt;Year&gt;2020&lt;/Year&gt;&lt;RecNum&gt;6671&lt;/RecNum&gt;&lt;DisplayText&gt;[1]&lt;/DisplayText&gt;&lt;record&gt;&lt;rec-number&gt;6671&lt;/rec-number&gt;&lt;foreign-keys&gt;&lt;key app="EN" db-id="5a9pfaartferdmee5a0xxz0gw5r5dxp529ax" timestamp="1591007950"&gt;6671&lt;/key&gt;&lt;/foreign-keys&gt;&lt;ref-type name="Report"&gt;27&lt;/ref-type&gt;&lt;contributors&gt;&lt;authors&gt;&lt;author&gt;Korenromp, E.L.&lt;/author&gt;&lt;author&gt;Mahiané, Guy&lt;/author&gt;&lt;author&gt;Glaubius, Robert&lt;/author&gt;&lt;author&gt;Stover, John&lt;/author&gt;&lt;/authors&gt;&lt;/contributors&gt;&lt;titles&gt;&lt;title&gt;The Syphilis Interventions towards Elimination (SITE) model to inform national strategies and targets for syphilis control – technical methods report&lt;/title&gt;&lt;/titles&gt;&lt;dates&gt;&lt;year&gt;2020&lt;/year&gt;&lt;pub-dates&gt;&lt;date&gt;23 June&lt;/date&gt;&lt;/pub-dates&gt;&lt;/dates&gt;&lt;pub-location&gt;Geneva / Glastonbury&lt;/pub-location&gt;&lt;urls&gt;&lt;/urls&gt;&lt;/record&gt;&lt;/Cite&gt;&lt;/EndNote&gt;</w:instrText>
      </w:r>
      <w:r w:rsidR="00B1448A">
        <w:rPr>
          <w:sz w:val="22"/>
          <w:szCs w:val="22"/>
        </w:rPr>
        <w:fldChar w:fldCharType="separate"/>
      </w:r>
      <w:r w:rsidR="00B1448A">
        <w:rPr>
          <w:noProof/>
          <w:sz w:val="22"/>
          <w:szCs w:val="22"/>
        </w:rPr>
        <w:t>[</w:t>
      </w:r>
      <w:hyperlink w:anchor="_ENREF_1" w:tooltip="Korenromp, 2020 #6671" w:history="1">
        <w:r w:rsidR="00B1448A">
          <w:rPr>
            <w:noProof/>
            <w:sz w:val="22"/>
            <w:szCs w:val="22"/>
          </w:rPr>
          <w:t>1</w:t>
        </w:r>
      </w:hyperlink>
      <w:r w:rsidR="00B1448A">
        <w:rPr>
          <w:noProof/>
          <w:sz w:val="22"/>
          <w:szCs w:val="22"/>
        </w:rPr>
        <w:t>]</w:t>
      </w:r>
      <w:r w:rsidR="00B1448A">
        <w:rPr>
          <w:sz w:val="22"/>
          <w:szCs w:val="22"/>
        </w:rPr>
        <w:fldChar w:fldCharType="end"/>
      </w:r>
      <w:r w:rsidRPr="00BC741E">
        <w:rPr>
          <w:sz w:val="22"/>
          <w:szCs w:val="22"/>
        </w:rPr>
        <w:t xml:space="preserve">. </w:t>
      </w:r>
    </w:p>
    <w:p w14:paraId="01D0B1F3" w14:textId="246545A0" w:rsidR="00343CCA" w:rsidRPr="00BC741E" w:rsidRDefault="00343CCA" w:rsidP="00BC741E">
      <w:pPr>
        <w:rPr>
          <w:sz w:val="22"/>
          <w:szCs w:val="22"/>
        </w:rPr>
      </w:pPr>
    </w:p>
    <w:p w14:paraId="3AB54B13" w14:textId="14CF99B0" w:rsidR="008C0A41" w:rsidRPr="00BC741E" w:rsidRDefault="002014C3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>The SITE model estimates the transmission and control of s</w:t>
      </w:r>
      <w:r w:rsidR="00336829" w:rsidRPr="00BC741E">
        <w:rPr>
          <w:sz w:val="22"/>
          <w:szCs w:val="22"/>
        </w:rPr>
        <w:t>yphilis</w:t>
      </w:r>
      <w:r w:rsidRPr="00BC741E">
        <w:rPr>
          <w:sz w:val="22"/>
          <w:szCs w:val="22"/>
        </w:rPr>
        <w:t xml:space="preserve"> in an adult population. The model distinguishes 7 risk groups who acquire and transmit the infection depending on their sexual behaviour</w:t>
      </w:r>
      <w:r w:rsidR="008C0A41" w:rsidRPr="00BC741E">
        <w:rPr>
          <w:sz w:val="22"/>
          <w:szCs w:val="22"/>
        </w:rPr>
        <w:t>:</w:t>
      </w:r>
      <w:r w:rsidR="00DF78D8" w:rsidRPr="00BC741E">
        <w:rPr>
          <w:sz w:val="22"/>
          <w:szCs w:val="22"/>
        </w:rPr>
        <w:t xml:space="preserve"> </w:t>
      </w:r>
    </w:p>
    <w:p w14:paraId="2A5333F2" w14:textId="08CB9D6F" w:rsidR="008C0A41" w:rsidRPr="00BC741E" w:rsidRDefault="00DE0D5A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 xml:space="preserve">Low-risk </w:t>
      </w:r>
      <w:r w:rsidR="00DF78D8" w:rsidRPr="00BC741E">
        <w:rPr>
          <w:sz w:val="22"/>
          <w:szCs w:val="22"/>
        </w:rPr>
        <w:t xml:space="preserve">Women, </w:t>
      </w:r>
      <w:r w:rsidRPr="00BC741E">
        <w:rPr>
          <w:sz w:val="22"/>
          <w:szCs w:val="22"/>
        </w:rPr>
        <w:t xml:space="preserve">Low-risk </w:t>
      </w:r>
      <w:r w:rsidR="00DF78D8" w:rsidRPr="00BC741E">
        <w:rPr>
          <w:sz w:val="22"/>
          <w:szCs w:val="22"/>
        </w:rPr>
        <w:t>Men</w:t>
      </w:r>
      <w:r w:rsidRPr="00BC741E">
        <w:rPr>
          <w:sz w:val="22"/>
          <w:szCs w:val="22"/>
        </w:rPr>
        <w:t>,</w:t>
      </w:r>
      <w:r w:rsidR="00DF78D8" w:rsidRPr="00BC741E">
        <w:rPr>
          <w:sz w:val="22"/>
          <w:szCs w:val="22"/>
        </w:rPr>
        <w:t xml:space="preserve"> </w:t>
      </w:r>
      <w:r w:rsidRPr="00BC741E">
        <w:rPr>
          <w:sz w:val="22"/>
          <w:szCs w:val="22"/>
        </w:rPr>
        <w:t xml:space="preserve">Medium-risk </w:t>
      </w:r>
      <w:r w:rsidR="00DF78D8" w:rsidRPr="00BC741E">
        <w:rPr>
          <w:sz w:val="22"/>
          <w:szCs w:val="22"/>
        </w:rPr>
        <w:t>Women, Medium risk</w:t>
      </w:r>
      <w:r w:rsidRPr="00BC741E">
        <w:rPr>
          <w:sz w:val="22"/>
          <w:szCs w:val="22"/>
        </w:rPr>
        <w:t xml:space="preserve"> Men, High-risk </w:t>
      </w:r>
      <w:r w:rsidR="00DF78D8" w:rsidRPr="00BC741E">
        <w:rPr>
          <w:sz w:val="22"/>
          <w:szCs w:val="22"/>
        </w:rPr>
        <w:t>Women</w:t>
      </w:r>
      <w:r w:rsidRPr="00BC741E">
        <w:rPr>
          <w:sz w:val="22"/>
          <w:szCs w:val="22"/>
        </w:rPr>
        <w:t xml:space="preserve"> i.e. </w:t>
      </w:r>
      <w:r w:rsidR="00DF78D8" w:rsidRPr="00BC741E">
        <w:rPr>
          <w:sz w:val="22"/>
          <w:szCs w:val="22"/>
        </w:rPr>
        <w:t>F</w:t>
      </w:r>
      <w:r w:rsidRPr="00BC741E">
        <w:rPr>
          <w:sz w:val="22"/>
          <w:szCs w:val="22"/>
        </w:rPr>
        <w:t>emale Sex Workers (F</w:t>
      </w:r>
      <w:r w:rsidR="00DF78D8" w:rsidRPr="00BC741E">
        <w:rPr>
          <w:sz w:val="22"/>
          <w:szCs w:val="22"/>
        </w:rPr>
        <w:t>SW)</w:t>
      </w:r>
      <w:r w:rsidRPr="00BC741E">
        <w:rPr>
          <w:sz w:val="22"/>
          <w:szCs w:val="22"/>
        </w:rPr>
        <w:t>, High-risk i.e. clients of FSW, and Men who have Sex with Men (</w:t>
      </w:r>
      <w:r w:rsidR="00DF78D8" w:rsidRPr="00BC741E">
        <w:rPr>
          <w:sz w:val="22"/>
          <w:szCs w:val="22"/>
        </w:rPr>
        <w:t>MSM</w:t>
      </w:r>
      <w:r w:rsidRPr="00BC741E">
        <w:rPr>
          <w:sz w:val="22"/>
          <w:szCs w:val="22"/>
        </w:rPr>
        <w:t>)</w:t>
      </w:r>
      <w:r w:rsidR="00DF78D8" w:rsidRPr="00BC741E">
        <w:rPr>
          <w:sz w:val="22"/>
          <w:szCs w:val="22"/>
        </w:rPr>
        <w:t>.</w:t>
      </w:r>
    </w:p>
    <w:p w14:paraId="0F0430B5" w14:textId="77777777" w:rsidR="00045479" w:rsidRPr="00BC741E" w:rsidRDefault="00045479" w:rsidP="00BC741E">
      <w:pPr>
        <w:rPr>
          <w:sz w:val="22"/>
          <w:szCs w:val="22"/>
        </w:rPr>
      </w:pPr>
    </w:p>
    <w:p w14:paraId="63720F0B" w14:textId="7B47B825" w:rsidR="00045479" w:rsidRPr="00BC741E" w:rsidRDefault="00045479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>Besides these 7 groups the population modelled include</w:t>
      </w:r>
      <w:r w:rsidR="00662B51" w:rsidRPr="00BC741E">
        <w:rPr>
          <w:sz w:val="22"/>
          <w:szCs w:val="22"/>
        </w:rPr>
        <w:t>s</w:t>
      </w:r>
      <w:r w:rsidRPr="00BC741E">
        <w:rPr>
          <w:sz w:val="22"/>
          <w:szCs w:val="22"/>
        </w:rPr>
        <w:t xml:space="preserve"> </w:t>
      </w:r>
      <w:r w:rsidR="00A21E18" w:rsidRPr="00BC741E">
        <w:rPr>
          <w:sz w:val="22"/>
          <w:szCs w:val="22"/>
        </w:rPr>
        <w:t>two</w:t>
      </w:r>
      <w:r w:rsidRPr="00BC741E">
        <w:rPr>
          <w:sz w:val="22"/>
          <w:szCs w:val="22"/>
        </w:rPr>
        <w:t xml:space="preserve"> additional groups:</w:t>
      </w:r>
    </w:p>
    <w:p w14:paraId="2A26AE76" w14:textId="77777777" w:rsidR="00DE0D5A" w:rsidRPr="00BC741E" w:rsidRDefault="00045479" w:rsidP="00BC741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 xml:space="preserve">Not Sexually Active Women </w:t>
      </w:r>
    </w:p>
    <w:p w14:paraId="6191918C" w14:textId="6191465A" w:rsidR="00DE0D5A" w:rsidRPr="00BC741E" w:rsidRDefault="00045479" w:rsidP="00BC741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Not Sexually Active Men</w:t>
      </w:r>
      <w:r w:rsidR="00DE0D5A" w:rsidRPr="00BC741E">
        <w:rPr>
          <w:rFonts w:ascii="Times New Roman" w:hAnsi="Times New Roman" w:cs="Times New Roman"/>
        </w:rPr>
        <w:t>,</w:t>
      </w:r>
    </w:p>
    <w:p w14:paraId="605D248F" w14:textId="764F76E8" w:rsidR="00045479" w:rsidRPr="00BC741E" w:rsidRDefault="00045479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>for whom syphilis incidence and prevalence by definition is 0, and for whom no input data are required other than their group size.</w:t>
      </w:r>
    </w:p>
    <w:p w14:paraId="3CC81EBA" w14:textId="644F997D" w:rsidR="00DE0D5A" w:rsidRPr="00BC741E" w:rsidRDefault="00DE0D5A" w:rsidP="00BC741E">
      <w:pPr>
        <w:rPr>
          <w:sz w:val="22"/>
          <w:szCs w:val="22"/>
        </w:rPr>
      </w:pPr>
    </w:p>
    <w:p w14:paraId="5CC03B08" w14:textId="18B62CD3" w:rsidR="00DE0D5A" w:rsidRPr="00BC741E" w:rsidRDefault="00DE0D5A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 xml:space="preserve">The 7 sexually active groups interact in 4 types of partnerships: </w:t>
      </w:r>
    </w:p>
    <w:p w14:paraId="4BDB6B9F" w14:textId="77777777" w:rsidR="00DE0D5A" w:rsidRPr="00BC741E" w:rsidRDefault="00DE0D5A" w:rsidP="00BC74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Low-risk i.e. stable or marital relationships</w:t>
      </w:r>
    </w:p>
    <w:p w14:paraId="3BBC82DC" w14:textId="77777777" w:rsidR="00DE0D5A" w:rsidRPr="00BC741E" w:rsidRDefault="00DE0D5A" w:rsidP="00BC74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Medium-risk relationships i.e. casual heterosexual relationships</w:t>
      </w:r>
    </w:p>
    <w:p w14:paraId="43B65616" w14:textId="77777777" w:rsidR="00DE0D5A" w:rsidRPr="00BC741E" w:rsidRDefault="00DE0D5A" w:rsidP="00BC74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High-risk heterosexual contacts i.e. between a FSW and her client</w:t>
      </w:r>
    </w:p>
    <w:p w14:paraId="1FE268CE" w14:textId="65C4A337" w:rsidR="00DE0D5A" w:rsidRPr="00BC741E" w:rsidRDefault="00DE0D5A" w:rsidP="00BC74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MSM contacts.</w:t>
      </w:r>
    </w:p>
    <w:p w14:paraId="1FDE9C4C" w14:textId="66746AAE" w:rsidR="002014C3" w:rsidRPr="00BC741E" w:rsidRDefault="002014C3" w:rsidP="00BC741E">
      <w:pPr>
        <w:rPr>
          <w:color w:val="444444"/>
          <w:sz w:val="22"/>
          <w:szCs w:val="22"/>
        </w:rPr>
      </w:pPr>
      <w:r w:rsidRPr="00BC741E">
        <w:rPr>
          <w:color w:val="444444"/>
          <w:sz w:val="22"/>
          <w:szCs w:val="22"/>
        </w:rPr>
        <w:t xml:space="preserve"> </w:t>
      </w:r>
    </w:p>
    <w:p w14:paraId="0656BEB1" w14:textId="77777777" w:rsidR="00DE0D5A" w:rsidRPr="00BC741E" w:rsidRDefault="00DE0D5A" w:rsidP="00BC741E">
      <w:pPr>
        <w:pStyle w:val="NormalWeb"/>
        <w:spacing w:before="0" w:beforeAutospacing="0" w:after="0" w:afterAutospacing="0"/>
        <w:textAlignment w:val="baseline"/>
        <w:rPr>
          <w:b/>
          <w:bCs/>
          <w:color w:val="444444"/>
          <w:sz w:val="22"/>
          <w:szCs w:val="22"/>
          <w:u w:val="single"/>
        </w:rPr>
      </w:pPr>
      <w:r w:rsidRPr="00BC741E">
        <w:rPr>
          <w:b/>
          <w:bCs/>
          <w:color w:val="444444"/>
          <w:sz w:val="22"/>
          <w:szCs w:val="22"/>
          <w:u w:val="single"/>
        </w:rPr>
        <w:t>Time period for data compilation</w:t>
      </w:r>
    </w:p>
    <w:p w14:paraId="48DE4851" w14:textId="77777777" w:rsidR="00DE0D5A" w:rsidRPr="00BC741E" w:rsidRDefault="00DE0D5A" w:rsidP="00BC741E">
      <w:pPr>
        <w:rPr>
          <w:bCs/>
          <w:sz w:val="22"/>
          <w:szCs w:val="22"/>
        </w:rPr>
      </w:pPr>
      <w:r w:rsidRPr="00BC741E">
        <w:rPr>
          <w:bCs/>
          <w:sz w:val="22"/>
          <w:szCs w:val="22"/>
        </w:rPr>
        <w:t xml:space="preserve">The SITE model starts every projection in 1970. Since untreated syphilis has a long duration, a long historic ‘warm-up’ period is needed for the model to reach epidemic equilibrium by the time that users want to start scenario analysis (e.g. 2020).  </w:t>
      </w:r>
    </w:p>
    <w:p w14:paraId="1289383A" w14:textId="77777777" w:rsidR="00DE0D5A" w:rsidRPr="00BC741E" w:rsidRDefault="00DE0D5A" w:rsidP="00BC741E">
      <w:pPr>
        <w:rPr>
          <w:bCs/>
          <w:sz w:val="22"/>
          <w:szCs w:val="22"/>
        </w:rPr>
      </w:pPr>
    </w:p>
    <w:p w14:paraId="353EB2A8" w14:textId="7C5BADBB" w:rsidR="00DE0D5A" w:rsidRPr="00BC741E" w:rsidRDefault="00DE0D5A" w:rsidP="00BC741E">
      <w:pPr>
        <w:rPr>
          <w:bCs/>
          <w:sz w:val="22"/>
          <w:szCs w:val="22"/>
        </w:rPr>
      </w:pPr>
      <w:r w:rsidRPr="00BC741E">
        <w:rPr>
          <w:bCs/>
          <w:sz w:val="22"/>
          <w:szCs w:val="22"/>
        </w:rPr>
        <w:t>For calibration graphs and checks,</w:t>
      </w:r>
      <w:r w:rsidRPr="00BC741E">
        <w:rPr>
          <w:bCs/>
          <w:i/>
          <w:iCs/>
          <w:sz w:val="22"/>
          <w:szCs w:val="22"/>
        </w:rPr>
        <w:t xml:space="preserve"> prevalence data</w:t>
      </w:r>
      <w:r w:rsidRPr="00BC741E">
        <w:rPr>
          <w:bCs/>
          <w:sz w:val="22"/>
          <w:szCs w:val="22"/>
        </w:rPr>
        <w:t xml:space="preserve"> are relevant and can be entered for any year from 1970 onwards, as available – see </w:t>
      </w:r>
      <w:r w:rsidRPr="00BC741E">
        <w:rPr>
          <w:bCs/>
          <w:sz w:val="22"/>
          <w:szCs w:val="22"/>
          <w:u w:val="single"/>
        </w:rPr>
        <w:t>Section 2</w:t>
      </w:r>
      <w:r w:rsidRPr="00BC741E">
        <w:rPr>
          <w:bCs/>
          <w:sz w:val="22"/>
          <w:szCs w:val="22"/>
        </w:rPr>
        <w:t xml:space="preserve"> below. Clearly it is most important to have some data for each </w:t>
      </w:r>
      <w:r w:rsidRPr="00BC741E">
        <w:rPr>
          <w:bCs/>
          <w:sz w:val="22"/>
          <w:szCs w:val="22"/>
        </w:rPr>
        <w:lastRenderedPageBreak/>
        <w:t>population group over recent years, e.g. 2015-2020. In the 2020 model version, the check on epidemic calibration/fit is left to the user to do visually, by combining their prevalence data inventory with the model output file. The only prevalence that enters the model as a required input is the initial prevalence at 1970. Prevalence data are often scarce or absent pre-2000, in which case for 1970 the prevalence should be set in line with the oldest data point available for each group, and/or taking into account the apparent trend (decline/stable/increase) in prevalence over the first years with data.</w:t>
      </w:r>
    </w:p>
    <w:p w14:paraId="4158A99A" w14:textId="77777777" w:rsidR="00DE0D5A" w:rsidRPr="00BC741E" w:rsidRDefault="00DE0D5A" w:rsidP="00BC741E">
      <w:pPr>
        <w:rPr>
          <w:bCs/>
          <w:sz w:val="22"/>
          <w:szCs w:val="22"/>
        </w:rPr>
      </w:pPr>
    </w:p>
    <w:p w14:paraId="016F593B" w14:textId="15A78AF0" w:rsidR="00DE0D5A" w:rsidRPr="00BC741E" w:rsidRDefault="00DE0D5A" w:rsidP="00BC741E">
      <w:pPr>
        <w:rPr>
          <w:sz w:val="22"/>
          <w:szCs w:val="22"/>
          <w:lang w:val="en-US"/>
        </w:rPr>
      </w:pPr>
      <w:r w:rsidRPr="00BC741E">
        <w:rPr>
          <w:sz w:val="22"/>
          <w:szCs w:val="22"/>
          <w:lang w:val="en-US"/>
        </w:rPr>
        <w:t xml:space="preserve">All </w:t>
      </w:r>
      <w:r w:rsidRPr="00BC741E">
        <w:rPr>
          <w:i/>
          <w:iCs/>
          <w:sz w:val="22"/>
          <w:szCs w:val="22"/>
          <w:lang w:val="en-US"/>
        </w:rPr>
        <w:t xml:space="preserve">population sizes, behavioural parameters and intervention coverages </w:t>
      </w:r>
      <w:r w:rsidRPr="00BC741E">
        <w:rPr>
          <w:sz w:val="22"/>
          <w:szCs w:val="22"/>
          <w:lang w:val="en-US"/>
        </w:rPr>
        <w:t xml:space="preserve">need to be entered for each and all years over 1970-2050 – see </w:t>
      </w:r>
      <w:r w:rsidRPr="00BC741E">
        <w:rPr>
          <w:sz w:val="22"/>
          <w:szCs w:val="22"/>
          <w:u w:val="single"/>
          <w:lang w:val="en-US"/>
        </w:rPr>
        <w:t>Section 3</w:t>
      </w:r>
      <w:r w:rsidRPr="00BC741E">
        <w:rPr>
          <w:sz w:val="22"/>
          <w:szCs w:val="22"/>
          <w:lang w:val="en-US"/>
        </w:rPr>
        <w:t xml:space="preserve"> below. But such data are typically available only for a subset of those years (e.g. years with a survey). The parameter values for years in between are typically filled by interpolation e.g. drawing a line (linear interpolation) between 2 successive surveys.</w:t>
      </w:r>
    </w:p>
    <w:p w14:paraId="27BEEF92" w14:textId="77777777" w:rsidR="00DE0D5A" w:rsidRPr="00BC741E" w:rsidRDefault="00DE0D5A" w:rsidP="00BC741E">
      <w:pPr>
        <w:rPr>
          <w:sz w:val="22"/>
          <w:szCs w:val="22"/>
          <w:lang w:val="en-US"/>
        </w:rPr>
      </w:pPr>
    </w:p>
    <w:p w14:paraId="745F47E9" w14:textId="77777777" w:rsidR="00DE0D5A" w:rsidRPr="00BC741E" w:rsidRDefault="00DE0D5A" w:rsidP="00BC741E">
      <w:pPr>
        <w:rPr>
          <w:color w:val="444444"/>
          <w:sz w:val="22"/>
          <w:szCs w:val="22"/>
        </w:rPr>
      </w:pPr>
    </w:p>
    <w:p w14:paraId="737AF2F5" w14:textId="77777777" w:rsidR="00DE0D5A" w:rsidRPr="00BC741E" w:rsidRDefault="00DE0D5A" w:rsidP="00BC741E">
      <w:pPr>
        <w:rPr>
          <w:b/>
          <w:sz w:val="22"/>
          <w:szCs w:val="22"/>
          <w:u w:val="single"/>
          <w:lang w:val="en-US"/>
        </w:rPr>
      </w:pPr>
      <w:r w:rsidRPr="00BC741E">
        <w:rPr>
          <w:b/>
          <w:sz w:val="22"/>
          <w:szCs w:val="22"/>
          <w:u w:val="single"/>
          <w:lang w:val="en-US"/>
        </w:rPr>
        <w:t xml:space="preserve">2.  Syphilis prevalence data </w:t>
      </w:r>
    </w:p>
    <w:p w14:paraId="4C326F97" w14:textId="11FB6864" w:rsidR="00B1448A" w:rsidRDefault="002014C3" w:rsidP="00BC741E">
      <w:pPr>
        <w:rPr>
          <w:color w:val="444444"/>
          <w:sz w:val="22"/>
          <w:szCs w:val="22"/>
        </w:rPr>
      </w:pPr>
      <w:r w:rsidRPr="00BC741E">
        <w:rPr>
          <w:color w:val="444444"/>
          <w:sz w:val="22"/>
          <w:szCs w:val="22"/>
        </w:rPr>
        <w:t xml:space="preserve">The model is calibrated to a national epidemic, fitting its results for the prevalence </w:t>
      </w:r>
      <w:r w:rsidR="00DE0D5A" w:rsidRPr="00BC741E">
        <w:rPr>
          <w:color w:val="444444"/>
          <w:sz w:val="22"/>
          <w:szCs w:val="22"/>
        </w:rPr>
        <w:t>o</w:t>
      </w:r>
      <w:r w:rsidRPr="00BC741E">
        <w:rPr>
          <w:color w:val="444444"/>
          <w:sz w:val="22"/>
          <w:szCs w:val="22"/>
        </w:rPr>
        <w:t>f syphilis in each of these 7 groups.</w:t>
      </w:r>
      <w:r w:rsidR="00531DA8" w:rsidRPr="00BC741E">
        <w:rPr>
          <w:color w:val="444444"/>
          <w:sz w:val="22"/>
          <w:szCs w:val="22"/>
        </w:rPr>
        <w:t xml:space="preserve"> To this end, users can compile prevalence data in an Excel table</w:t>
      </w:r>
      <w:r w:rsidR="00B1448A">
        <w:rPr>
          <w:color w:val="444444"/>
          <w:sz w:val="22"/>
          <w:szCs w:val="22"/>
        </w:rPr>
        <w:t xml:space="preserve">. The more data the better, for any years from 1970 to today, and ideally covering a wide range of populations and samples. </w:t>
      </w:r>
    </w:p>
    <w:p w14:paraId="3E94EAE3" w14:textId="7EF65BF3" w:rsidR="00531DA8" w:rsidRPr="00BC741E" w:rsidRDefault="00B1448A" w:rsidP="00BC741E">
      <w:pPr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The same Excel table </w:t>
      </w:r>
      <w:r w:rsidR="00531DA8" w:rsidRPr="00BC741E">
        <w:rPr>
          <w:color w:val="444444"/>
          <w:sz w:val="22"/>
          <w:szCs w:val="22"/>
        </w:rPr>
        <w:t xml:space="preserve">can subsequently be used to plot graphically the fit of the model projection against those data. </w:t>
      </w:r>
    </w:p>
    <w:p w14:paraId="1AEBD48F" w14:textId="77777777" w:rsidR="00531DA8" w:rsidRPr="00BC741E" w:rsidRDefault="00531DA8" w:rsidP="00BC741E">
      <w:pPr>
        <w:rPr>
          <w:color w:val="444444"/>
          <w:sz w:val="22"/>
          <w:szCs w:val="22"/>
        </w:rPr>
      </w:pPr>
    </w:p>
    <w:p w14:paraId="7FC53E8E" w14:textId="77777777" w:rsidR="00EB05BF" w:rsidRPr="00BC741E" w:rsidRDefault="00531DA8" w:rsidP="00BC741E">
      <w:pPr>
        <w:rPr>
          <w:sz w:val="22"/>
          <w:szCs w:val="22"/>
        </w:rPr>
      </w:pPr>
      <w:r w:rsidRPr="00BC741E">
        <w:rPr>
          <w:sz w:val="22"/>
          <w:szCs w:val="22"/>
          <w:u w:val="single"/>
        </w:rPr>
        <w:t>Table 1</w:t>
      </w:r>
      <w:r w:rsidRPr="00BC741E">
        <w:rPr>
          <w:sz w:val="22"/>
          <w:szCs w:val="22"/>
        </w:rPr>
        <w:t xml:space="preserve"> summarize the typical sources of syphilis prevalence data</w:t>
      </w:r>
      <w:r w:rsidR="00EB05BF" w:rsidRPr="00BC741E">
        <w:rPr>
          <w:sz w:val="22"/>
          <w:szCs w:val="22"/>
        </w:rPr>
        <w:t>, and how they map to population groups in the SITE model</w:t>
      </w:r>
      <w:r w:rsidRPr="00BC741E">
        <w:rPr>
          <w:sz w:val="22"/>
          <w:szCs w:val="22"/>
        </w:rPr>
        <w:t>.</w:t>
      </w:r>
    </w:p>
    <w:p w14:paraId="553B38D4" w14:textId="73C24B07" w:rsidR="00531DA8" w:rsidRPr="00BC741E" w:rsidRDefault="00531DA8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 xml:space="preserve"> </w:t>
      </w:r>
    </w:p>
    <w:p w14:paraId="6A556CB6" w14:textId="6CEF5671" w:rsidR="00531DA8" w:rsidRPr="00BC741E" w:rsidRDefault="00531DA8" w:rsidP="00BC741E">
      <w:pPr>
        <w:rPr>
          <w:sz w:val="22"/>
          <w:szCs w:val="22"/>
        </w:rPr>
      </w:pPr>
      <w:r w:rsidRPr="00BC741E">
        <w:rPr>
          <w:sz w:val="22"/>
          <w:szCs w:val="22"/>
          <w:u w:val="single"/>
        </w:rPr>
        <w:t>Table 2</w:t>
      </w:r>
      <w:r w:rsidRPr="00BC741E">
        <w:rPr>
          <w:sz w:val="22"/>
          <w:szCs w:val="22"/>
        </w:rPr>
        <w:t xml:space="preserve"> summarizes the data elements to extract for each data point.</w:t>
      </w:r>
    </w:p>
    <w:p w14:paraId="4AD87887" w14:textId="0750063E" w:rsidR="002014C3" w:rsidRPr="00BC741E" w:rsidRDefault="002014C3" w:rsidP="00BC741E">
      <w:pPr>
        <w:pStyle w:val="NormalWeb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</w:p>
    <w:p w14:paraId="2BF9ACC1" w14:textId="77777777" w:rsidR="00C91F6F" w:rsidRPr="00BC741E" w:rsidRDefault="00C91F6F" w:rsidP="00BC741E">
      <w:pPr>
        <w:pStyle w:val="NormalWeb"/>
        <w:spacing w:before="0" w:beforeAutospacing="0" w:after="0" w:afterAutospacing="0"/>
        <w:textAlignment w:val="baseline"/>
        <w:rPr>
          <w:b/>
          <w:bCs/>
          <w:color w:val="444444"/>
          <w:sz w:val="22"/>
          <w:szCs w:val="22"/>
        </w:rPr>
      </w:pPr>
    </w:p>
    <w:p w14:paraId="5659FF8D" w14:textId="16468F71" w:rsidR="002014C3" w:rsidRPr="00BC741E" w:rsidRDefault="00531DA8" w:rsidP="00BC741E">
      <w:pPr>
        <w:pStyle w:val="NormalWeb"/>
        <w:spacing w:before="0" w:beforeAutospacing="0" w:after="0" w:afterAutospacing="0"/>
        <w:textAlignment w:val="baseline"/>
        <w:rPr>
          <w:b/>
          <w:bCs/>
          <w:color w:val="444444"/>
          <w:sz w:val="22"/>
          <w:szCs w:val="22"/>
        </w:rPr>
      </w:pPr>
      <w:r w:rsidRPr="00BC741E">
        <w:rPr>
          <w:b/>
          <w:bCs/>
          <w:color w:val="444444"/>
          <w:sz w:val="22"/>
          <w:szCs w:val="22"/>
        </w:rPr>
        <w:t>Table 1. Types and sources of syphilis prevalence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531DA8" w:rsidRPr="00BC741E" w14:paraId="10A3D1C3" w14:textId="77777777" w:rsidTr="00531DA8">
        <w:trPr>
          <w:tblHeader/>
        </w:trPr>
        <w:tc>
          <w:tcPr>
            <w:tcW w:w="2660" w:type="dxa"/>
          </w:tcPr>
          <w:p w14:paraId="78081A73" w14:textId="0AA9C848" w:rsidR="00531DA8" w:rsidRPr="00BC741E" w:rsidRDefault="00531DA8" w:rsidP="00BC741E">
            <w:pPr>
              <w:rPr>
                <w:b/>
                <w:bCs/>
                <w:sz w:val="22"/>
                <w:szCs w:val="22"/>
              </w:rPr>
            </w:pPr>
            <w:r w:rsidRPr="00BC741E">
              <w:rPr>
                <w:b/>
                <w:bCs/>
                <w:sz w:val="22"/>
                <w:szCs w:val="22"/>
              </w:rPr>
              <w:t>Population group</w:t>
            </w:r>
            <w:r w:rsidR="008C0A41" w:rsidRPr="00BC741E">
              <w:rPr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6520" w:type="dxa"/>
          </w:tcPr>
          <w:p w14:paraId="69EBA848" w14:textId="61F955AB" w:rsidR="00531DA8" w:rsidRPr="00BC741E" w:rsidRDefault="00531DA8" w:rsidP="00BC741E">
            <w:pPr>
              <w:rPr>
                <w:b/>
                <w:bCs/>
                <w:sz w:val="22"/>
                <w:szCs w:val="22"/>
              </w:rPr>
            </w:pPr>
            <w:r w:rsidRPr="00BC741E">
              <w:rPr>
                <w:b/>
                <w:bCs/>
                <w:sz w:val="22"/>
                <w:szCs w:val="22"/>
              </w:rPr>
              <w:t>Data source</w:t>
            </w:r>
          </w:p>
        </w:tc>
      </w:tr>
      <w:tr w:rsidR="00531DA8" w:rsidRPr="00BC741E" w14:paraId="49FD3E8A" w14:textId="77777777" w:rsidTr="00023295">
        <w:tc>
          <w:tcPr>
            <w:tcW w:w="2660" w:type="dxa"/>
          </w:tcPr>
          <w:p w14:paraId="677E41CA" w14:textId="74185C49" w:rsidR="00531DA8" w:rsidRPr="00BC741E" w:rsidRDefault="00531DA8" w:rsidP="00BC741E">
            <w:pPr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 xml:space="preserve">Pregnant and other </w:t>
            </w:r>
            <w:r w:rsidR="008C0A41" w:rsidRPr="00BC741E">
              <w:rPr>
                <w:sz w:val="22"/>
                <w:szCs w:val="22"/>
              </w:rPr>
              <w:t>L</w:t>
            </w:r>
            <w:r w:rsidRPr="00BC741E">
              <w:rPr>
                <w:sz w:val="22"/>
                <w:szCs w:val="22"/>
              </w:rPr>
              <w:t xml:space="preserve">ow- and </w:t>
            </w:r>
            <w:r w:rsidR="008C0A41" w:rsidRPr="00BC741E">
              <w:rPr>
                <w:sz w:val="22"/>
                <w:szCs w:val="22"/>
              </w:rPr>
              <w:t>M</w:t>
            </w:r>
            <w:r w:rsidRPr="00BC741E">
              <w:rPr>
                <w:sz w:val="22"/>
                <w:szCs w:val="22"/>
              </w:rPr>
              <w:t>edium-</w:t>
            </w:r>
            <w:r w:rsidR="008C0A41" w:rsidRPr="00BC741E">
              <w:rPr>
                <w:sz w:val="22"/>
                <w:szCs w:val="22"/>
              </w:rPr>
              <w:t>risk</w:t>
            </w:r>
            <w:r w:rsidRPr="00BC741E">
              <w:rPr>
                <w:sz w:val="22"/>
                <w:szCs w:val="22"/>
              </w:rPr>
              <w:t xml:space="preserve"> women</w:t>
            </w:r>
            <w:r w:rsidR="00EB05BF" w:rsidRPr="00BC741E">
              <w:rPr>
                <w:sz w:val="22"/>
                <w:szCs w:val="22"/>
              </w:rPr>
              <w:t>*</w:t>
            </w:r>
          </w:p>
        </w:tc>
        <w:tc>
          <w:tcPr>
            <w:tcW w:w="6520" w:type="dxa"/>
          </w:tcPr>
          <w:p w14:paraId="71AECD27" w14:textId="79CD48D1" w:rsidR="00531DA8" w:rsidRPr="00BC741E" w:rsidRDefault="00531DA8" w:rsidP="00BC74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 xml:space="preserve">Antenatal Care (ANC) sentinel surveys </w:t>
            </w:r>
          </w:p>
          <w:p w14:paraId="7EACE5EA" w14:textId="5B2B9C3C" w:rsidR="00531DA8" w:rsidRPr="00BC741E" w:rsidRDefault="00531DA8" w:rsidP="00BC74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 xml:space="preserve">Routine programmatic screening of women attending ANC </w:t>
            </w:r>
          </w:p>
        </w:tc>
      </w:tr>
      <w:tr w:rsidR="00531DA8" w:rsidRPr="00BC741E" w14:paraId="23D14EDD" w14:textId="77777777" w:rsidTr="00023295">
        <w:tc>
          <w:tcPr>
            <w:tcW w:w="2660" w:type="dxa"/>
          </w:tcPr>
          <w:p w14:paraId="1A295089" w14:textId="28AEE714" w:rsidR="00531DA8" w:rsidRPr="00BC741E" w:rsidRDefault="00531DA8" w:rsidP="00BC741E">
            <w:pPr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 xml:space="preserve">Low-risk and </w:t>
            </w:r>
            <w:r w:rsidR="008C0A41" w:rsidRPr="00BC741E">
              <w:rPr>
                <w:sz w:val="22"/>
                <w:szCs w:val="22"/>
              </w:rPr>
              <w:t>M</w:t>
            </w:r>
            <w:r w:rsidRPr="00BC741E">
              <w:rPr>
                <w:sz w:val="22"/>
                <w:szCs w:val="22"/>
              </w:rPr>
              <w:t>edium-risk men and women</w:t>
            </w:r>
            <w:r w:rsidR="00EB05BF" w:rsidRPr="00BC741E">
              <w:rPr>
                <w:sz w:val="22"/>
                <w:szCs w:val="22"/>
              </w:rPr>
              <w:t>**</w:t>
            </w:r>
          </w:p>
        </w:tc>
        <w:tc>
          <w:tcPr>
            <w:tcW w:w="6520" w:type="dxa"/>
          </w:tcPr>
          <w:p w14:paraId="06777C69" w14:textId="77777777" w:rsidR="00531DA8" w:rsidRPr="00BC741E" w:rsidRDefault="00531DA8" w:rsidP="00BC74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Blood donor screening, from blood banks</w:t>
            </w:r>
          </w:p>
          <w:p w14:paraId="30EC7AB9" w14:textId="77777777" w:rsidR="00531DA8" w:rsidRPr="00BC741E" w:rsidRDefault="00531DA8" w:rsidP="00BC74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Demographic and Health Surveys (DHS)</w:t>
            </w:r>
          </w:p>
          <w:p w14:paraId="7B2CD5FB" w14:textId="77777777" w:rsidR="00531DA8" w:rsidRPr="00BC741E" w:rsidRDefault="00531DA8" w:rsidP="00BC74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AIDS Indicator Surveys (AIS)</w:t>
            </w:r>
          </w:p>
          <w:p w14:paraId="021A0908" w14:textId="77777777" w:rsidR="00531DA8" w:rsidRPr="00BC741E" w:rsidRDefault="00531DA8" w:rsidP="00BC74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Population-based HIV Impact Assessment (PHIA)</w:t>
            </w:r>
          </w:p>
          <w:p w14:paraId="3E03689E" w14:textId="13539518" w:rsidR="00531DA8" w:rsidRPr="00BC741E" w:rsidRDefault="00531DA8" w:rsidP="00BC74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Other representative sample sero-surveys, among communities/households, Family Planning clinic attendees, students, workers, military (recruits)</w:t>
            </w:r>
          </w:p>
        </w:tc>
      </w:tr>
      <w:tr w:rsidR="00531DA8" w:rsidRPr="00BC741E" w14:paraId="214A7E1C" w14:textId="77777777" w:rsidTr="00023295">
        <w:tc>
          <w:tcPr>
            <w:tcW w:w="2660" w:type="dxa"/>
          </w:tcPr>
          <w:p w14:paraId="135509C7" w14:textId="46E03E74" w:rsidR="00531DA8" w:rsidRPr="00BC741E" w:rsidRDefault="00531DA8" w:rsidP="00BC741E">
            <w:pPr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 xml:space="preserve">High-risk women </w:t>
            </w:r>
            <w:r w:rsidR="008C0A41" w:rsidRPr="00BC741E">
              <w:rPr>
                <w:sz w:val="22"/>
                <w:szCs w:val="22"/>
              </w:rPr>
              <w:t>i.e.</w:t>
            </w:r>
            <w:r w:rsidRPr="00BC741E">
              <w:rPr>
                <w:sz w:val="22"/>
                <w:szCs w:val="22"/>
              </w:rPr>
              <w:t xml:space="preserve"> FSW</w:t>
            </w:r>
            <w:r w:rsidR="00EB05BF" w:rsidRPr="00BC741E">
              <w:rPr>
                <w:sz w:val="22"/>
                <w:szCs w:val="22"/>
              </w:rPr>
              <w:t>,</w:t>
            </w:r>
            <w:r w:rsidRPr="00BC741E">
              <w:rPr>
                <w:sz w:val="22"/>
                <w:szCs w:val="22"/>
              </w:rPr>
              <w:t xml:space="preserve"> and MSM</w:t>
            </w:r>
            <w:r w:rsidR="00EB05BF" w:rsidRPr="00BC741E">
              <w:rPr>
                <w:sz w:val="22"/>
                <w:szCs w:val="22"/>
              </w:rPr>
              <w:t>*</w:t>
            </w:r>
          </w:p>
        </w:tc>
        <w:tc>
          <w:tcPr>
            <w:tcW w:w="6520" w:type="dxa"/>
          </w:tcPr>
          <w:p w14:paraId="61F72A16" w14:textId="77777777" w:rsidR="00531DA8" w:rsidRPr="00BC741E" w:rsidRDefault="00531DA8" w:rsidP="00BC74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Integrated Bio-Behavioural Surveys</w:t>
            </w:r>
          </w:p>
          <w:p w14:paraId="62168BF2" w14:textId="77777777" w:rsidR="00531DA8" w:rsidRPr="00BC741E" w:rsidRDefault="00531DA8" w:rsidP="00BC74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Second-generation Sentinel Surveillance</w:t>
            </w:r>
          </w:p>
          <w:p w14:paraId="794D307F" w14:textId="1603A9B8" w:rsidR="00531DA8" w:rsidRPr="00BC741E" w:rsidRDefault="00531DA8" w:rsidP="00BC74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Other surveys/ studies</w:t>
            </w:r>
          </w:p>
        </w:tc>
      </w:tr>
      <w:tr w:rsidR="00531DA8" w:rsidRPr="00BC741E" w14:paraId="4C5044A2" w14:textId="77777777" w:rsidTr="00023295">
        <w:tc>
          <w:tcPr>
            <w:tcW w:w="2660" w:type="dxa"/>
          </w:tcPr>
          <w:p w14:paraId="41D4C952" w14:textId="70B1F6E1" w:rsidR="00531DA8" w:rsidRPr="00BC741E" w:rsidRDefault="00531DA8" w:rsidP="00BC741E">
            <w:pPr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 xml:space="preserve">High-risk men </w:t>
            </w:r>
            <w:r w:rsidR="008C0A41" w:rsidRPr="00BC741E">
              <w:rPr>
                <w:sz w:val="22"/>
                <w:szCs w:val="22"/>
              </w:rPr>
              <w:t>i.e.</w:t>
            </w:r>
            <w:r w:rsidRPr="00BC741E">
              <w:rPr>
                <w:sz w:val="22"/>
                <w:szCs w:val="22"/>
              </w:rPr>
              <w:t xml:space="preserve"> FSW clients</w:t>
            </w:r>
          </w:p>
        </w:tc>
        <w:tc>
          <w:tcPr>
            <w:tcW w:w="6520" w:type="dxa"/>
          </w:tcPr>
          <w:p w14:paraId="05A6A38D" w14:textId="7308EF45" w:rsidR="00531DA8" w:rsidRPr="00BC741E" w:rsidRDefault="00531DA8" w:rsidP="00BC74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Surveys among STI clinic patients, military/military recruits</w:t>
            </w:r>
          </w:p>
          <w:p w14:paraId="08916159" w14:textId="2A3A132A" w:rsidR="00531DA8" w:rsidRPr="00BC741E" w:rsidRDefault="00531DA8" w:rsidP="00BC74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Household/community surveys in the preceding row, if these also include self-reports about paying for sex</w:t>
            </w:r>
          </w:p>
        </w:tc>
      </w:tr>
    </w:tbl>
    <w:p w14:paraId="3BD3A759" w14:textId="77777777" w:rsidR="00EB05BF" w:rsidRPr="00BC741E" w:rsidRDefault="00EB05BF" w:rsidP="00BC741E">
      <w:pPr>
        <w:pStyle w:val="NormalWeb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BC741E">
        <w:rPr>
          <w:color w:val="444444"/>
          <w:sz w:val="20"/>
          <w:szCs w:val="20"/>
        </w:rPr>
        <w:t>* While these are 2 different in the SITE model, these groups are combined in this table, according to their representation in typical data sources listed in the 2</w:t>
      </w:r>
      <w:r w:rsidRPr="00BC741E">
        <w:rPr>
          <w:color w:val="444444"/>
          <w:sz w:val="20"/>
          <w:szCs w:val="20"/>
          <w:vertAlign w:val="superscript"/>
        </w:rPr>
        <w:t>nd</w:t>
      </w:r>
      <w:r w:rsidRPr="00BC741E">
        <w:rPr>
          <w:color w:val="444444"/>
          <w:sz w:val="20"/>
          <w:szCs w:val="20"/>
        </w:rPr>
        <w:t xml:space="preserve"> column. </w:t>
      </w:r>
    </w:p>
    <w:p w14:paraId="5F9AB8D2" w14:textId="016C7ACE" w:rsidR="00EB05BF" w:rsidRPr="00BC741E" w:rsidRDefault="00EB05BF" w:rsidP="00BC741E">
      <w:pPr>
        <w:pStyle w:val="NormalWeb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BC741E">
        <w:rPr>
          <w:color w:val="444444"/>
          <w:sz w:val="20"/>
          <w:szCs w:val="20"/>
        </w:rPr>
        <w:t>** While these are 4 different in the SITE model, these groups are combined in this table, according to their representation in typical data sources listed in the 2</w:t>
      </w:r>
      <w:r w:rsidRPr="00BC741E">
        <w:rPr>
          <w:color w:val="444444"/>
          <w:sz w:val="20"/>
          <w:szCs w:val="20"/>
          <w:vertAlign w:val="superscript"/>
        </w:rPr>
        <w:t>nd</w:t>
      </w:r>
      <w:r w:rsidRPr="00BC741E">
        <w:rPr>
          <w:color w:val="444444"/>
          <w:sz w:val="20"/>
          <w:szCs w:val="20"/>
        </w:rPr>
        <w:t xml:space="preserve"> column.</w:t>
      </w:r>
    </w:p>
    <w:p w14:paraId="0786F815" w14:textId="494F82A5" w:rsidR="00531DA8" w:rsidRPr="00BC741E" w:rsidRDefault="00531DA8" w:rsidP="00BC741E">
      <w:pPr>
        <w:pStyle w:val="NormalWeb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</w:p>
    <w:p w14:paraId="5DEBC391" w14:textId="77777777" w:rsidR="00531DA8" w:rsidRPr="00BC741E" w:rsidRDefault="00531DA8" w:rsidP="00BC741E">
      <w:pPr>
        <w:pStyle w:val="NormalWeb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</w:p>
    <w:p w14:paraId="23CEFD1D" w14:textId="7DA4F77F" w:rsidR="00531DA8" w:rsidRPr="00BC741E" w:rsidRDefault="00531DA8" w:rsidP="00BC741E">
      <w:pPr>
        <w:pStyle w:val="NormalWeb"/>
        <w:spacing w:before="0" w:beforeAutospacing="0" w:after="0" w:afterAutospacing="0"/>
        <w:textAlignment w:val="baseline"/>
        <w:rPr>
          <w:b/>
          <w:bCs/>
          <w:color w:val="444444"/>
          <w:sz w:val="22"/>
          <w:szCs w:val="22"/>
        </w:rPr>
      </w:pPr>
      <w:r w:rsidRPr="00BC741E">
        <w:rPr>
          <w:b/>
          <w:bCs/>
          <w:color w:val="444444"/>
          <w:sz w:val="22"/>
          <w:szCs w:val="22"/>
        </w:rPr>
        <w:t>Table 2. Data elements to extract for each prevalence data point</w:t>
      </w:r>
    </w:p>
    <w:p w14:paraId="219E080E" w14:textId="77777777" w:rsidR="00C91F6F" w:rsidRPr="00BC741E" w:rsidRDefault="00C91F6F" w:rsidP="00BC741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1F6F" w:rsidRPr="00BC741E" w14:paraId="0001E3FE" w14:textId="77777777" w:rsidTr="00023295">
        <w:tc>
          <w:tcPr>
            <w:tcW w:w="9576" w:type="dxa"/>
          </w:tcPr>
          <w:p w14:paraId="46A7B2D7" w14:textId="765915A3" w:rsidR="00C91F6F" w:rsidRPr="00BC741E" w:rsidRDefault="00C91F6F" w:rsidP="00BC74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Sample size tested for syphilis</w:t>
            </w:r>
          </w:p>
          <w:p w14:paraId="2A84ACF6" w14:textId="52A010D0" w:rsidR="00C91F6F" w:rsidRPr="00BC741E" w:rsidRDefault="00C91F6F" w:rsidP="00BC74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Number of people test-positive i.e. infected with syphilis</w:t>
            </w:r>
          </w:p>
          <w:p w14:paraId="3EEC1E74" w14:textId="1AB63EE1" w:rsidR="00C91F6F" w:rsidRPr="00BC741E" w:rsidRDefault="00C91F6F" w:rsidP="00BC74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Diagnostic test used</w:t>
            </w:r>
          </w:p>
          <w:p w14:paraId="03590DC1" w14:textId="5D145D11" w:rsidR="00C91F6F" w:rsidRPr="00BC741E" w:rsidRDefault="00C91F6F" w:rsidP="00BC74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lastRenderedPageBreak/>
              <w:t>Calendar year(s) of data collection</w:t>
            </w:r>
          </w:p>
          <w:p w14:paraId="0A714EC7" w14:textId="45AD0C1B" w:rsidR="00C91F6F" w:rsidRPr="00BC741E" w:rsidRDefault="00C91F6F" w:rsidP="00BC74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 xml:space="preserve">Population </w:t>
            </w:r>
            <w:r w:rsidR="008C0A41" w:rsidRPr="00BC741E">
              <w:rPr>
                <w:rFonts w:ascii="Times New Roman" w:hAnsi="Times New Roman" w:cs="Times New Roman"/>
              </w:rPr>
              <w:t xml:space="preserve">type </w:t>
            </w:r>
            <w:r w:rsidRPr="00BC741E">
              <w:rPr>
                <w:rFonts w:ascii="Times New Roman" w:hAnsi="Times New Roman" w:cs="Times New Roman"/>
              </w:rPr>
              <w:t>sampled (see Table 1)</w:t>
            </w:r>
          </w:p>
          <w:p w14:paraId="37E7DB78" w14:textId="77777777" w:rsidR="00C91F6F" w:rsidRPr="00BC741E" w:rsidRDefault="00C91F6F" w:rsidP="00BC74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Optionally (for context): Location, for example [capital city name] or ‘2 rural villages’ or ‘urban’ or ‘rural’</w:t>
            </w:r>
          </w:p>
          <w:p w14:paraId="54DB66C1" w14:textId="6705DDF2" w:rsidR="00C91F6F" w:rsidRPr="00BC741E" w:rsidRDefault="00C91F6F" w:rsidP="00BC74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Official reference of the data source:  Authors, title, publication date &amp; location, report number, URL if available.</w:t>
            </w:r>
          </w:p>
        </w:tc>
      </w:tr>
    </w:tbl>
    <w:p w14:paraId="63942DA3" w14:textId="5E7B4545" w:rsidR="00C91F6F" w:rsidRPr="00BC741E" w:rsidRDefault="00C91F6F" w:rsidP="00BC741E">
      <w:pPr>
        <w:rPr>
          <w:b/>
          <w:sz w:val="22"/>
          <w:szCs w:val="22"/>
          <w:u w:val="single"/>
        </w:rPr>
      </w:pPr>
    </w:p>
    <w:p w14:paraId="7C802F93" w14:textId="5F3E0E53" w:rsidR="00C91F6F" w:rsidRPr="00BC741E" w:rsidRDefault="004549ED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>Each data point is adjusted in the model to reflect the</w:t>
      </w:r>
      <w:r w:rsidR="00C91F6F" w:rsidRPr="00BC741E">
        <w:rPr>
          <w:sz w:val="22"/>
          <w:szCs w:val="22"/>
        </w:rPr>
        <w:t xml:space="preserve"> diagnostic test type</w:t>
      </w:r>
      <w:r w:rsidRPr="00BC741E">
        <w:rPr>
          <w:sz w:val="22"/>
          <w:szCs w:val="22"/>
        </w:rPr>
        <w:t xml:space="preserve">.  </w:t>
      </w:r>
      <w:r w:rsidR="00C91F6F" w:rsidRPr="00BC741E">
        <w:rPr>
          <w:sz w:val="22"/>
          <w:szCs w:val="22"/>
        </w:rPr>
        <w:t>T</w:t>
      </w:r>
      <w:r w:rsidRPr="00BC741E">
        <w:rPr>
          <w:sz w:val="22"/>
          <w:szCs w:val="22"/>
        </w:rPr>
        <w:t xml:space="preserve">est type adjustors are based on those used in </w:t>
      </w:r>
      <w:r w:rsidR="00C91F6F" w:rsidRPr="00BC741E">
        <w:rPr>
          <w:sz w:val="22"/>
          <w:szCs w:val="22"/>
        </w:rPr>
        <w:t>Spectrum-STI burden trend estimations and the WHO’s global syphilis estimations – detail</w:t>
      </w:r>
      <w:r w:rsidR="00A21E18" w:rsidRPr="00BC741E">
        <w:rPr>
          <w:sz w:val="22"/>
          <w:szCs w:val="22"/>
        </w:rPr>
        <w:t>ed</w:t>
      </w:r>
      <w:r w:rsidR="00C91F6F" w:rsidRPr="00BC741E">
        <w:rPr>
          <w:sz w:val="22"/>
          <w:szCs w:val="22"/>
        </w:rPr>
        <w:t xml:space="preserve"> in</w:t>
      </w:r>
      <w:r w:rsidR="00A21E18" w:rsidRPr="00BC741E">
        <w:rPr>
          <w:sz w:val="22"/>
          <w:szCs w:val="22"/>
        </w:rPr>
        <w:t xml:space="preserve"> </w:t>
      </w:r>
      <w:r w:rsidR="00B1448A">
        <w:rPr>
          <w:sz w:val="22"/>
          <w:szCs w:val="22"/>
        </w:rPr>
        <w:fldChar w:fldCharType="begin">
          <w:fldData xml:space="preserve">PEVuZE5vdGU+PENpdGU+PEF1dGhvcj5OZXdtYW48L0F1dGhvcj48WWVhcj4yMDE1PC9ZZWFyPjxS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</w:fldData>
        </w:fldChar>
      </w:r>
      <w:r w:rsidR="00B1448A">
        <w:rPr>
          <w:sz w:val="22"/>
          <w:szCs w:val="22"/>
        </w:rPr>
        <w:instrText xml:space="preserve"> ADDIN EN.CITE </w:instrText>
      </w:r>
      <w:r w:rsidR="00B1448A">
        <w:rPr>
          <w:sz w:val="22"/>
          <w:szCs w:val="22"/>
        </w:rPr>
        <w:fldChar w:fldCharType="begin">
          <w:fldData xml:space="preserve">PEVuZE5vdGU+PENpdGU+PEF1dGhvcj5OZXdtYW48L0F1dGhvcj48WWVhcj4yMDE1PC9ZZWFyPjxS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</w:fldData>
        </w:fldChar>
      </w:r>
      <w:r w:rsidR="00B1448A">
        <w:rPr>
          <w:sz w:val="22"/>
          <w:szCs w:val="22"/>
        </w:rPr>
        <w:instrText xml:space="preserve"> ADDIN EN.CITE.DATA </w:instrText>
      </w:r>
      <w:r w:rsidR="00B1448A">
        <w:rPr>
          <w:sz w:val="22"/>
          <w:szCs w:val="22"/>
        </w:rPr>
      </w:r>
      <w:r w:rsidR="00B1448A">
        <w:rPr>
          <w:sz w:val="22"/>
          <w:szCs w:val="22"/>
        </w:rPr>
        <w:fldChar w:fldCharType="end"/>
      </w:r>
      <w:r w:rsidR="00B1448A">
        <w:rPr>
          <w:sz w:val="22"/>
          <w:szCs w:val="22"/>
        </w:rPr>
      </w:r>
      <w:r w:rsidR="00B1448A">
        <w:rPr>
          <w:sz w:val="22"/>
          <w:szCs w:val="22"/>
        </w:rPr>
        <w:fldChar w:fldCharType="separate"/>
      </w:r>
      <w:r w:rsidR="00B1448A">
        <w:rPr>
          <w:noProof/>
          <w:sz w:val="22"/>
          <w:szCs w:val="22"/>
        </w:rPr>
        <w:t>[</w:t>
      </w:r>
      <w:hyperlink w:anchor="_ENREF_2" w:tooltip="Newman, 2015 #5067" w:history="1">
        <w:r w:rsidR="00B1448A">
          <w:rPr>
            <w:noProof/>
            <w:sz w:val="22"/>
            <w:szCs w:val="22"/>
          </w:rPr>
          <w:t>2-4</w:t>
        </w:r>
      </w:hyperlink>
      <w:r w:rsidR="00B1448A">
        <w:rPr>
          <w:noProof/>
          <w:sz w:val="22"/>
          <w:szCs w:val="22"/>
        </w:rPr>
        <w:t>]</w:t>
      </w:r>
      <w:r w:rsidR="00B1448A">
        <w:rPr>
          <w:sz w:val="22"/>
          <w:szCs w:val="22"/>
        </w:rPr>
        <w:fldChar w:fldCharType="end"/>
      </w:r>
      <w:r w:rsidR="00A21E18" w:rsidRPr="00BC741E">
        <w:rPr>
          <w:sz w:val="22"/>
          <w:szCs w:val="22"/>
        </w:rPr>
        <w:t>.</w:t>
      </w:r>
      <w:r w:rsidR="00C91F6F" w:rsidRPr="00BC741E">
        <w:rPr>
          <w:sz w:val="22"/>
          <w:szCs w:val="22"/>
        </w:rPr>
        <w:t xml:space="preserve"> </w:t>
      </w:r>
    </w:p>
    <w:p w14:paraId="257F2178" w14:textId="39AA8CDA" w:rsidR="008C0A41" w:rsidRPr="00BC741E" w:rsidRDefault="008C0A41" w:rsidP="00BC741E">
      <w:pPr>
        <w:rPr>
          <w:sz w:val="22"/>
          <w:szCs w:val="22"/>
        </w:rPr>
      </w:pPr>
    </w:p>
    <w:p w14:paraId="5EEA5173" w14:textId="77777777" w:rsidR="00A21E18" w:rsidRPr="00BC741E" w:rsidRDefault="00A21E18" w:rsidP="00BC741E">
      <w:pPr>
        <w:rPr>
          <w:sz w:val="22"/>
          <w:szCs w:val="22"/>
        </w:rPr>
      </w:pPr>
    </w:p>
    <w:p w14:paraId="061482F5" w14:textId="4B8BAD90" w:rsidR="003179BA" w:rsidRPr="00BC741E" w:rsidRDefault="00C91F6F" w:rsidP="00BC741E">
      <w:pPr>
        <w:rPr>
          <w:b/>
          <w:bCs/>
          <w:sz w:val="22"/>
          <w:szCs w:val="22"/>
          <w:u w:val="single"/>
        </w:rPr>
      </w:pPr>
      <w:r w:rsidRPr="00BC741E">
        <w:rPr>
          <w:b/>
          <w:bCs/>
          <w:sz w:val="22"/>
          <w:szCs w:val="22"/>
          <w:u w:val="single"/>
        </w:rPr>
        <w:t>3. Sexual behaviours and risk population group sizes</w:t>
      </w:r>
    </w:p>
    <w:p w14:paraId="2E82272F" w14:textId="37B61053" w:rsidR="004549ED" w:rsidRPr="00BC741E" w:rsidRDefault="00BD4CC0" w:rsidP="00BC741E">
      <w:pPr>
        <w:contextualSpacing/>
        <w:rPr>
          <w:sz w:val="22"/>
          <w:szCs w:val="22"/>
        </w:rPr>
      </w:pPr>
      <w:r w:rsidRPr="00BC741E">
        <w:rPr>
          <w:sz w:val="22"/>
          <w:szCs w:val="22"/>
        </w:rPr>
        <w:t xml:space="preserve">To </w:t>
      </w:r>
      <w:r w:rsidR="00820765" w:rsidRPr="00BC741E">
        <w:rPr>
          <w:sz w:val="22"/>
          <w:szCs w:val="22"/>
        </w:rPr>
        <w:t xml:space="preserve">simulate </w:t>
      </w:r>
      <w:r w:rsidR="004549ED" w:rsidRPr="00BC741E">
        <w:rPr>
          <w:sz w:val="22"/>
          <w:szCs w:val="22"/>
        </w:rPr>
        <w:t xml:space="preserve">syphilis </w:t>
      </w:r>
      <w:r w:rsidRPr="00BC741E">
        <w:rPr>
          <w:sz w:val="22"/>
          <w:szCs w:val="22"/>
        </w:rPr>
        <w:t xml:space="preserve">transmission in </w:t>
      </w:r>
      <w:r w:rsidR="004549ED" w:rsidRPr="00BC741E">
        <w:rPr>
          <w:sz w:val="22"/>
          <w:szCs w:val="22"/>
        </w:rPr>
        <w:t xml:space="preserve">a </w:t>
      </w:r>
      <w:r w:rsidRPr="00BC741E">
        <w:rPr>
          <w:sz w:val="22"/>
          <w:szCs w:val="22"/>
        </w:rPr>
        <w:t xml:space="preserve">population, the model </w:t>
      </w:r>
      <w:r w:rsidR="004549ED" w:rsidRPr="00BC741E">
        <w:rPr>
          <w:sz w:val="22"/>
          <w:szCs w:val="22"/>
        </w:rPr>
        <w:t xml:space="preserve">requires </w:t>
      </w:r>
    </w:p>
    <w:p w14:paraId="1574A144" w14:textId="77777777" w:rsidR="004549ED" w:rsidRPr="00BC741E" w:rsidRDefault="004549ED" w:rsidP="00BC741E">
      <w:pPr>
        <w:contextualSpacing/>
        <w:rPr>
          <w:sz w:val="22"/>
          <w:szCs w:val="22"/>
        </w:rPr>
      </w:pPr>
    </w:p>
    <w:p w14:paraId="47E1EFFA" w14:textId="41C01A72" w:rsidR="00312717" w:rsidRPr="00BC741E" w:rsidRDefault="00EB05BF" w:rsidP="00BC74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T</w:t>
      </w:r>
      <w:r w:rsidR="00BD4CC0" w:rsidRPr="00BC741E">
        <w:rPr>
          <w:rFonts w:ascii="Times New Roman" w:hAnsi="Times New Roman" w:cs="Times New Roman"/>
        </w:rPr>
        <w:t xml:space="preserve">he size of each of the 7 </w:t>
      </w:r>
      <w:r w:rsidRPr="00BC741E">
        <w:rPr>
          <w:rFonts w:ascii="Times New Roman" w:hAnsi="Times New Roman" w:cs="Times New Roman"/>
        </w:rPr>
        <w:t>risk</w:t>
      </w:r>
      <w:r w:rsidR="00BD4CC0" w:rsidRPr="00BC741E">
        <w:rPr>
          <w:rFonts w:ascii="Times New Roman" w:hAnsi="Times New Roman" w:cs="Times New Roman"/>
        </w:rPr>
        <w:t xml:space="preserve"> groups, as well as </w:t>
      </w:r>
      <w:r w:rsidRPr="00BC741E">
        <w:rPr>
          <w:rFonts w:ascii="Times New Roman" w:hAnsi="Times New Roman" w:cs="Times New Roman"/>
        </w:rPr>
        <w:t>for the two</w:t>
      </w:r>
      <w:r w:rsidR="004549ED" w:rsidRPr="00BC741E">
        <w:rPr>
          <w:rFonts w:ascii="Times New Roman" w:hAnsi="Times New Roman" w:cs="Times New Roman"/>
        </w:rPr>
        <w:t xml:space="preserve"> not </w:t>
      </w:r>
      <w:r w:rsidR="00BD4CC0" w:rsidRPr="00BC741E">
        <w:rPr>
          <w:rFonts w:ascii="Times New Roman" w:hAnsi="Times New Roman" w:cs="Times New Roman"/>
        </w:rPr>
        <w:t>sexually active</w:t>
      </w:r>
      <w:r w:rsidR="004549ED" w:rsidRPr="00BC741E">
        <w:rPr>
          <w:rFonts w:ascii="Times New Roman" w:hAnsi="Times New Roman" w:cs="Times New Roman"/>
        </w:rPr>
        <w:t xml:space="preserve"> groups</w:t>
      </w:r>
      <w:r w:rsidR="00BD4CC0" w:rsidRPr="00BC741E">
        <w:rPr>
          <w:rFonts w:ascii="Times New Roman" w:hAnsi="Times New Roman" w:cs="Times New Roman"/>
        </w:rPr>
        <w:t xml:space="preserve"> (so a total of 9 groups)</w:t>
      </w:r>
      <w:r w:rsidR="00312717" w:rsidRPr="00BC741E">
        <w:rPr>
          <w:rFonts w:ascii="Times New Roman" w:hAnsi="Times New Roman" w:cs="Times New Roman"/>
        </w:rPr>
        <w:t>, typically from the following sources:</w:t>
      </w:r>
    </w:p>
    <w:p w14:paraId="3E689445" w14:textId="5E488BD7" w:rsidR="00BD4CC0" w:rsidRPr="00BC741E" w:rsidRDefault="00312717" w:rsidP="00BC74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 xml:space="preserve">Not sexually active women and men: self-reports from national household surveys like a DHS.  </w:t>
      </w:r>
    </w:p>
    <w:p w14:paraId="2E7E6F0C" w14:textId="77777777" w:rsidR="00312717" w:rsidRPr="00BC741E" w:rsidRDefault="00312717" w:rsidP="00BC74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 xml:space="preserve">High-risk men i.e. FSW clients: self-reported paying for sex (e.g. in the last year), from DHS, other representative community/household surveys. </w:t>
      </w:r>
    </w:p>
    <w:p w14:paraId="69DD452F" w14:textId="62C59A49" w:rsidR="00312717" w:rsidRPr="00BC741E" w:rsidRDefault="00312717" w:rsidP="00BC74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 xml:space="preserve">FSW &amp; MSM: IBBS and sentinel HIV/STI sample surveys &amp; surveillance, or size estimations done in the context of HIV estimates, e.g. application of the Spectrum-AIM/EPP or Goals model </w:t>
      </w:r>
      <w:r w:rsidR="00B1448A">
        <w:rPr>
          <w:rFonts w:ascii="Times New Roman" w:hAnsi="Times New Roman" w:cs="Times New Roman"/>
        </w:rPr>
        <w:fldChar w:fldCharType="begin"/>
      </w:r>
      <w:r w:rsidR="00B1448A">
        <w:rPr>
          <w:rFonts w:ascii="Times New Roman" w:hAnsi="Times New Roman" w:cs="Times New Roman"/>
        </w:rPr>
        <w:instrText xml:space="preserve"> ADDIN EN.CITE &lt;EndNote&gt;&lt;Cite&gt;&lt;Author&gt;Avenir Health&lt;/Author&gt;&lt;Year&gt;2011&lt;/Year&gt;&lt;RecNum&gt;4935&lt;/RecNum&gt;&lt;DisplayText&gt;[5]&lt;/DisplayText&gt;&lt;record&gt;&lt;rec-number&gt;4935&lt;/rec-number&gt;&lt;foreign-keys&gt;&lt;key app="EN" db-id="5a9pfaartferdmee5a0xxz0gw5r5dxp529ax" timestamp="0"&gt;4935&lt;/key&gt;&lt;/foreign-keys&gt;&lt;ref-type name="Report"&gt;27&lt;/ref-type&gt;&lt;contributors&gt;&lt;authors&gt;&lt;author&gt;Avenir Health,&lt;/author&gt;&lt;/authors&gt;&lt;/contributors&gt;&lt;titles&gt;&lt;title&gt;Goals manual: a model for estimating the effects of interventions and resource allocation on HIV infections and deaths&lt;/title&gt;&lt;/titles&gt;&lt;dates&gt;&lt;year&gt;2011&lt;/year&gt;&lt;pub-dates&gt;&lt;date&gt;August&lt;/date&gt;&lt;/pub-dates&gt;&lt;/dates&gt;&lt;pub-location&gt;Glastonbury, CT&lt;/pub-location&gt;&lt;urls&gt;&lt;related-urls&gt;&lt;url&gt;http://www.avenirhealth.org/Download/Spectrum/Manuals/Goals_Manual_August_2011.pdf&lt;/url&gt;&lt;/related-urls&gt;&lt;/urls&gt;&lt;/record&gt;&lt;/Cite&gt;&lt;/EndNote&gt;</w:instrText>
      </w:r>
      <w:r w:rsidR="00B1448A">
        <w:rPr>
          <w:rFonts w:ascii="Times New Roman" w:hAnsi="Times New Roman" w:cs="Times New Roman"/>
        </w:rPr>
        <w:fldChar w:fldCharType="separate"/>
      </w:r>
      <w:r w:rsidR="00B1448A">
        <w:rPr>
          <w:rFonts w:ascii="Times New Roman" w:hAnsi="Times New Roman" w:cs="Times New Roman"/>
          <w:noProof/>
        </w:rPr>
        <w:t>[</w:t>
      </w:r>
      <w:hyperlink w:anchor="_ENREF_5" w:tooltip="Avenir Health, 2011 #4935" w:history="1">
        <w:r w:rsidR="00B1448A">
          <w:rPr>
            <w:rFonts w:ascii="Times New Roman" w:hAnsi="Times New Roman" w:cs="Times New Roman"/>
            <w:noProof/>
          </w:rPr>
          <w:t>5</w:t>
        </w:r>
      </w:hyperlink>
      <w:r w:rsidR="00B1448A">
        <w:rPr>
          <w:rFonts w:ascii="Times New Roman" w:hAnsi="Times New Roman" w:cs="Times New Roman"/>
          <w:noProof/>
        </w:rPr>
        <w:t>]</w:t>
      </w:r>
      <w:r w:rsidR="00B1448A">
        <w:rPr>
          <w:rFonts w:ascii="Times New Roman" w:hAnsi="Times New Roman" w:cs="Times New Roman"/>
        </w:rPr>
        <w:fldChar w:fldCharType="end"/>
      </w:r>
      <w:r w:rsidRPr="00BC741E">
        <w:rPr>
          <w:rFonts w:ascii="Times New Roman" w:hAnsi="Times New Roman" w:cs="Times New Roman"/>
        </w:rPr>
        <w:t xml:space="preserve">* or the AIDS Epidemic Model AEM </w:t>
      </w:r>
      <w:r w:rsidR="00B1448A">
        <w:rPr>
          <w:rFonts w:ascii="Times New Roman" w:hAnsi="Times New Roman" w:cs="Times New Roman"/>
        </w:rPr>
        <w:fldChar w:fldCharType="begin"/>
      </w:r>
      <w:r w:rsidR="00B1448A">
        <w:rPr>
          <w:rFonts w:ascii="Times New Roman" w:hAnsi="Times New Roman" w:cs="Times New Roman"/>
        </w:rPr>
        <w:instrText xml:space="preserve"> ADDIN EN.CITE &lt;EndNote&gt;&lt;Cite&gt;&lt;Author&gt;Brown&lt;/Author&gt;&lt;Year&gt;2004&lt;/Year&gt;&lt;RecNum&gt;6064&lt;/RecNum&gt;&lt;DisplayText&gt;[6]&lt;/DisplayText&gt;&lt;record&gt;&lt;rec-number&gt;6064&lt;/rec-number&gt;&lt;foreign-keys&gt;&lt;key app="EN" db-id="5a9pfaartferdmee5a0xxz0gw5r5dxp529ax" timestamp="0"&gt;6064&lt;/key&gt;&lt;/foreign-keys&gt;&lt;ref-type name="Journal Article"&gt;17&lt;/ref-type&gt;&lt;contributors&gt;&lt;authors&gt;&lt;author&gt;Brown, T.&lt;/author&gt;&lt;author&gt;Peerapatanapokin, W.&lt;/author&gt;&lt;/authors&gt;&lt;/contributors&gt;&lt;auth-address&gt;EWC/TRCS Collaboration on HIV/AIDS Modeling, Analysis and Policy, Thai Red Cross Volunteer&amp;apos;s Building, 1873 Rajadamri Road, Pathumwan, Bangkok 10330, Thailand. tim@wiliki.eng.hawaii.edu&lt;/auth-address&gt;&lt;titles&gt;&lt;title&gt;The Asian Epidemic Model: a process model for exploring HIV policy and programme alternatives in Asia&lt;/title&gt;&lt;secondary-title&gt;Sex Transm Infect&lt;/secondary-title&gt;&lt;/titles&gt;&lt;periodical&gt;&lt;full-title&gt;Sex Transm Infect&lt;/full-title&gt;&lt;/periodical&gt;&lt;pages&gt;i19-24&lt;/pages&gt;&lt;volume&gt;80 Suppl 1&lt;/volume&gt;&lt;edition&gt;2004/07/14&lt;/edition&gt;&lt;keywords&gt;&lt;keyword&gt;Asia/epidemiology&lt;/keyword&gt;&lt;keyword&gt;Cambodia/epidemiology&lt;/keyword&gt;&lt;keyword&gt;*Disease Outbreaks&lt;/keyword&gt;&lt;keyword&gt;Female&lt;/keyword&gt;&lt;keyword&gt;HIV Infections/*epidemiology/transmission&lt;/keyword&gt;&lt;keyword&gt;*Health Policy&lt;/keyword&gt;&lt;keyword&gt;Humans&lt;/keyword&gt;&lt;keyword&gt;Male&lt;/keyword&gt;&lt;keyword&gt;National Health Programs&lt;/keyword&gt;&lt;keyword&gt;Sexual Behavior&lt;/keyword&gt;&lt;keyword&gt;Software&lt;/keyword&gt;&lt;keyword&gt;Substance Abuse, Intravenous/epidemiology&lt;/keyword&gt;&lt;keyword&gt;Thailand/epidemiology&lt;/keyword&gt;&lt;keyword&gt;Time Factors&lt;/keyword&gt;&lt;/keywords&gt;&lt;dates&gt;&lt;year&gt;2004&lt;/year&gt;&lt;pub-dates&gt;&lt;date&gt;Aug&lt;/date&gt;&lt;/pub-dates&gt;&lt;/dates&gt;&lt;isbn&gt;1368-4973 (Print)&amp;#xD;1368-4973 (Linking)&lt;/isbn&gt;&lt;accession-num&gt;15249695&lt;/accession-num&gt;&lt;urls&gt;&lt;related-urls&gt;&lt;url&gt;https://www.ncbi.nlm.nih.gov/pubmed/15249695&lt;/url&gt;&lt;/related-urls&gt;&lt;/urls&gt;&lt;custom2&gt;PMC1765841&lt;/custom2&gt;&lt;electronic-resource-num&gt;10.1136/sti.2004.010165&lt;/electronic-resource-num&gt;&lt;/record&gt;&lt;/Cite&gt;&lt;/EndNote&gt;</w:instrText>
      </w:r>
      <w:r w:rsidR="00B1448A">
        <w:rPr>
          <w:rFonts w:ascii="Times New Roman" w:hAnsi="Times New Roman" w:cs="Times New Roman"/>
        </w:rPr>
        <w:fldChar w:fldCharType="separate"/>
      </w:r>
      <w:r w:rsidR="00B1448A">
        <w:rPr>
          <w:rFonts w:ascii="Times New Roman" w:hAnsi="Times New Roman" w:cs="Times New Roman"/>
          <w:noProof/>
        </w:rPr>
        <w:t>[</w:t>
      </w:r>
      <w:hyperlink w:anchor="_ENREF_6" w:tooltip="Brown, 2004 #6064" w:history="1">
        <w:r w:rsidR="00B1448A">
          <w:rPr>
            <w:rFonts w:ascii="Times New Roman" w:hAnsi="Times New Roman" w:cs="Times New Roman"/>
            <w:noProof/>
          </w:rPr>
          <w:t>6</w:t>
        </w:r>
      </w:hyperlink>
      <w:r w:rsidR="00B1448A">
        <w:rPr>
          <w:rFonts w:ascii="Times New Roman" w:hAnsi="Times New Roman" w:cs="Times New Roman"/>
          <w:noProof/>
        </w:rPr>
        <w:t>]</w:t>
      </w:r>
      <w:r w:rsidR="00B1448A">
        <w:rPr>
          <w:rFonts w:ascii="Times New Roman" w:hAnsi="Times New Roman" w:cs="Times New Roman"/>
        </w:rPr>
        <w:fldChar w:fldCharType="end"/>
      </w:r>
      <w:r w:rsidRPr="00BC741E">
        <w:rPr>
          <w:rFonts w:ascii="Times New Roman" w:hAnsi="Times New Roman" w:cs="Times New Roman"/>
        </w:rPr>
        <w:t xml:space="preserve">, or, if country data lack, regional UNAIDS size estimates </w:t>
      </w:r>
      <w:r w:rsidR="00B1448A">
        <w:rPr>
          <w:rFonts w:ascii="Times New Roman" w:hAnsi="Times New Roman" w:cs="Times New Roman"/>
        </w:rPr>
        <w:fldChar w:fldCharType="begin"/>
      </w:r>
      <w:r w:rsidR="00B1448A">
        <w:rPr>
          <w:rFonts w:ascii="Times New Roman" w:hAnsi="Times New Roman" w:cs="Times New Roman"/>
        </w:rPr>
        <w:instrText xml:space="preserve"> ADDIN EN.CITE &lt;EndNote&gt;&lt;Cite&gt;&lt;Author&gt;UNAIDS&lt;/Author&gt;&lt;Year&gt;2018&lt;/Year&gt;&lt;RecNum&gt;6209&lt;/RecNum&gt;&lt;DisplayText&gt;[7]&lt;/DisplayText&gt;&lt;record&gt;&lt;rec-number&gt;6209&lt;/rec-number&gt;&lt;foreign-keys&gt;&lt;key app="EN" db-id="5a9pfaartferdmee5a0xxz0gw5r5dxp529ax" timestamp="0"&gt;6209&lt;/key&gt;&lt;/foreign-keys&gt;&lt;ref-type name="Report"&gt;27&lt;/ref-type&gt;&lt;contributors&gt;&lt;authors&gt;&lt;author&gt;UNAIDS&lt;/author&gt;&lt;/authors&gt;&lt;/contributors&gt;&lt;titles&gt;&lt;title&gt;Quick Start Guide for Spectrum 2018&lt;/title&gt;&lt;/titles&gt;&lt;dates&gt;&lt;year&gt;2018&lt;/year&gt;&lt;/dates&gt;&lt;pub-location&gt;Geneva&lt;/pub-location&gt;&lt;urls&gt;&lt;related-urls&gt;&lt;url&gt;http://www.unaids.org/sites/default/files/media_asset/QuickStartGuide_Spectrum_en.pdf&lt;/url&gt;&lt;/related-urls&gt;&lt;/urls&gt;&lt;/record&gt;&lt;/Cite&gt;&lt;/EndNote&gt;</w:instrText>
      </w:r>
      <w:r w:rsidR="00B1448A">
        <w:rPr>
          <w:rFonts w:ascii="Times New Roman" w:hAnsi="Times New Roman" w:cs="Times New Roman"/>
        </w:rPr>
        <w:fldChar w:fldCharType="separate"/>
      </w:r>
      <w:r w:rsidR="00B1448A">
        <w:rPr>
          <w:rFonts w:ascii="Times New Roman" w:hAnsi="Times New Roman" w:cs="Times New Roman"/>
          <w:noProof/>
        </w:rPr>
        <w:t>[</w:t>
      </w:r>
      <w:hyperlink w:anchor="_ENREF_7" w:tooltip="UNAIDS, 2018 #6209" w:history="1">
        <w:r w:rsidR="00B1448A">
          <w:rPr>
            <w:rFonts w:ascii="Times New Roman" w:hAnsi="Times New Roman" w:cs="Times New Roman"/>
            <w:noProof/>
          </w:rPr>
          <w:t>7</w:t>
        </w:r>
      </w:hyperlink>
      <w:r w:rsidR="00B1448A">
        <w:rPr>
          <w:rFonts w:ascii="Times New Roman" w:hAnsi="Times New Roman" w:cs="Times New Roman"/>
          <w:noProof/>
        </w:rPr>
        <w:t>]</w:t>
      </w:r>
      <w:r w:rsidR="00B1448A">
        <w:rPr>
          <w:rFonts w:ascii="Times New Roman" w:hAnsi="Times New Roman" w:cs="Times New Roman"/>
        </w:rPr>
        <w:fldChar w:fldCharType="end"/>
      </w:r>
    </w:p>
    <w:p w14:paraId="27910A90" w14:textId="42DA22AF" w:rsidR="00312717" w:rsidRPr="00BC741E" w:rsidRDefault="00312717" w:rsidP="00BC74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Low- &amp; Medium</w:t>
      </w:r>
      <w:r w:rsidR="00A55224">
        <w:rPr>
          <w:rFonts w:ascii="Times New Roman" w:hAnsi="Times New Roman" w:cs="Times New Roman"/>
        </w:rPr>
        <w:t>-</w:t>
      </w:r>
      <w:r w:rsidRPr="00BC741E">
        <w:rPr>
          <w:rFonts w:ascii="Times New Roman" w:hAnsi="Times New Roman" w:cs="Times New Roman"/>
        </w:rPr>
        <w:t xml:space="preserve">risk Women, and Low- &amp; Medium-risk Men combined: By definitions, this is the total national female or male population </w:t>
      </w:r>
      <w:r w:rsidR="00B1448A">
        <w:rPr>
          <w:rFonts w:ascii="Times New Roman" w:hAnsi="Times New Roman" w:cs="Times New Roman"/>
        </w:rPr>
        <w:fldChar w:fldCharType="begin"/>
      </w:r>
      <w:r w:rsidR="00B1448A">
        <w:rPr>
          <w:rFonts w:ascii="Times New Roman" w:hAnsi="Times New Roman" w:cs="Times New Roman"/>
        </w:rPr>
        <w:instrText xml:space="preserve"> ADDIN EN.CITE &lt;EndNote&gt;&lt;Cite&gt;&lt;Author&gt;United Nations Population Division&lt;/Author&gt;&lt;Year&gt;2019&lt;/Year&gt;&lt;RecNum&gt;6681&lt;/RecNum&gt;&lt;DisplayText&gt;[8]&lt;/DisplayText&gt;&lt;record&gt;&lt;rec-number&gt;6681&lt;/rec-number&gt;&lt;foreign-keys&gt;&lt;key app="EN" db-id="5a9pfaartferdmee5a0xxz0gw5r5dxp529ax" timestamp="1592921234"&gt;6681&lt;/key&gt;&lt;/foreign-keys&gt;&lt;ref-type name="Online Database"&gt;45&lt;/ref-type&gt;&lt;contributors&gt;&lt;authors&gt;&lt;author&gt;United Nations Population Division,&lt;/author&gt;&lt;/authors&gt;&lt;/contributors&gt;&lt;titles&gt;&lt;title&gt;World Population Prospects 2019&lt;/title&gt;&lt;/titles&gt;&lt;dates&gt;&lt;year&gt;2019&lt;/year&gt;&lt;pub-dates&gt;&lt;date&gt;23 June 2020&lt;/date&gt;&lt;/pub-dates&gt;&lt;/dates&gt;&lt;urls&gt;&lt;related-urls&gt;&lt;url&gt;https://population.un.org/wpp/&lt;/url&gt;&lt;/related-urls&gt;&lt;/urls&gt;&lt;/record&gt;&lt;/Cite&gt;&lt;/EndNote&gt;</w:instrText>
      </w:r>
      <w:r w:rsidR="00B1448A">
        <w:rPr>
          <w:rFonts w:ascii="Times New Roman" w:hAnsi="Times New Roman" w:cs="Times New Roman"/>
        </w:rPr>
        <w:fldChar w:fldCharType="separate"/>
      </w:r>
      <w:r w:rsidR="00B1448A">
        <w:rPr>
          <w:rFonts w:ascii="Times New Roman" w:hAnsi="Times New Roman" w:cs="Times New Roman"/>
          <w:noProof/>
        </w:rPr>
        <w:t>[</w:t>
      </w:r>
      <w:hyperlink w:anchor="_ENREF_8" w:tooltip="United Nations Population Division, 2019 #6681" w:history="1">
        <w:r w:rsidR="00B1448A">
          <w:rPr>
            <w:rFonts w:ascii="Times New Roman" w:hAnsi="Times New Roman" w:cs="Times New Roman"/>
            <w:noProof/>
          </w:rPr>
          <w:t>8</w:t>
        </w:r>
      </w:hyperlink>
      <w:r w:rsidR="00B1448A">
        <w:rPr>
          <w:rFonts w:ascii="Times New Roman" w:hAnsi="Times New Roman" w:cs="Times New Roman"/>
          <w:noProof/>
        </w:rPr>
        <w:t>]</w:t>
      </w:r>
      <w:r w:rsidR="00B1448A">
        <w:rPr>
          <w:rFonts w:ascii="Times New Roman" w:hAnsi="Times New Roman" w:cs="Times New Roman"/>
        </w:rPr>
        <w:fldChar w:fldCharType="end"/>
      </w:r>
      <w:r w:rsidRPr="00BC741E">
        <w:rPr>
          <w:rFonts w:ascii="Times New Roman" w:hAnsi="Times New Roman" w:cs="Times New Roman"/>
        </w:rPr>
        <w:t xml:space="preserve">, minus the sizes of the other female or male groups listed in the preceding 3 bullets. </w:t>
      </w:r>
    </w:p>
    <w:p w14:paraId="030B51C1" w14:textId="2F655E07" w:rsidR="00BD4CC0" w:rsidRPr="00BC741E" w:rsidRDefault="00312717" w:rsidP="00BC74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Split between Low-risk and Medium-risk: based on self-reported numbers of partners in the last year, from DHS or other representative surveys.</w:t>
      </w:r>
    </w:p>
    <w:p w14:paraId="11BD55CB" w14:textId="77777777" w:rsidR="00312717" w:rsidRPr="00BC741E" w:rsidRDefault="00312717" w:rsidP="00BC741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62BA302A" w14:textId="070AF434" w:rsidR="0024110D" w:rsidRPr="00BC741E" w:rsidRDefault="00820765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 xml:space="preserve">B. </w:t>
      </w:r>
      <w:r w:rsidR="009C7BC2">
        <w:rPr>
          <w:sz w:val="22"/>
          <w:szCs w:val="22"/>
        </w:rPr>
        <w:t xml:space="preserve"> </w:t>
      </w:r>
      <w:r w:rsidR="00EB05BF" w:rsidRPr="00BC741E">
        <w:rPr>
          <w:sz w:val="22"/>
          <w:szCs w:val="22"/>
        </w:rPr>
        <w:t>S</w:t>
      </w:r>
      <w:r w:rsidR="00BD4CC0" w:rsidRPr="00BC741E">
        <w:rPr>
          <w:sz w:val="22"/>
          <w:szCs w:val="22"/>
        </w:rPr>
        <w:t>exual behaviours</w:t>
      </w:r>
      <w:r w:rsidR="004549ED" w:rsidRPr="00BC741E">
        <w:rPr>
          <w:sz w:val="22"/>
          <w:szCs w:val="22"/>
        </w:rPr>
        <w:t xml:space="preserve"> in each of the 7 risk groups. This includes: </w:t>
      </w:r>
    </w:p>
    <w:p w14:paraId="5A2BAEE2" w14:textId="68EFA3E7" w:rsidR="00A55224" w:rsidRPr="00B1448A" w:rsidRDefault="00BD4CC0" w:rsidP="00A55224">
      <w:pPr>
        <w:pStyle w:val="ListParagraph"/>
        <w:numPr>
          <w:ilvl w:val="0"/>
          <w:numId w:val="12"/>
        </w:numPr>
        <w:spacing w:after="0" w:line="240" w:lineRule="auto"/>
        <w:rPr>
          <w:rStyle w:val="CommentReference"/>
          <w:rFonts w:ascii="Times New Roman" w:hAnsi="Times New Roman" w:cs="Times New Roman"/>
          <w:sz w:val="22"/>
          <w:szCs w:val="22"/>
        </w:rPr>
      </w:pPr>
      <w:r w:rsidRPr="00BC741E">
        <w:rPr>
          <w:rFonts w:ascii="Times New Roman" w:hAnsi="Times New Roman" w:cs="Times New Roman"/>
        </w:rPr>
        <w:t>Proportion of each group that is married</w:t>
      </w:r>
      <w:r w:rsidR="00B1448A">
        <w:rPr>
          <w:rFonts w:ascii="Times New Roman" w:hAnsi="Times New Roman" w:cs="Times New Roman"/>
        </w:rPr>
        <w:t>, i.e. who have a heterosexual relationship with a low-risk woman or man</w:t>
      </w:r>
      <w:r w:rsidR="00023295" w:rsidRPr="00BC741E">
        <w:rPr>
          <w:rFonts w:ascii="Times New Roman" w:hAnsi="Times New Roman" w:cs="Times New Roman"/>
        </w:rPr>
        <w:t>.</w:t>
      </w:r>
      <w:r w:rsidRPr="00BC741E">
        <w:rPr>
          <w:rFonts w:ascii="Times New Roman" w:hAnsi="Times New Roman" w:cs="Times New Roman"/>
        </w:rPr>
        <w:t xml:space="preserve"> </w:t>
      </w:r>
    </w:p>
    <w:p w14:paraId="11523856" w14:textId="4C6FD3EC" w:rsidR="00A55224" w:rsidRDefault="00A55224" w:rsidP="00A5522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</w:t>
      </w:r>
      <w:r w:rsidR="00BD4CC0" w:rsidRPr="00BC741E">
        <w:rPr>
          <w:rFonts w:ascii="Times New Roman" w:hAnsi="Times New Roman" w:cs="Times New Roman"/>
        </w:rPr>
        <w:t>mber of sexual partners, as average per year.</w:t>
      </w:r>
    </w:p>
    <w:p w14:paraId="773B78CB" w14:textId="77777777" w:rsidR="00252BC0" w:rsidRDefault="00252BC0" w:rsidP="00252BC0">
      <w:pPr>
        <w:ind w:left="360"/>
      </w:pPr>
    </w:p>
    <w:p w14:paraId="56B98C9D" w14:textId="1976A242" w:rsidR="00A55224" w:rsidRPr="00252BC0" w:rsidRDefault="00A55224" w:rsidP="00252BC0">
      <w:pPr>
        <w:ind w:left="360"/>
        <w:rPr>
          <w:sz w:val="22"/>
          <w:szCs w:val="22"/>
        </w:rPr>
      </w:pPr>
      <w:r w:rsidRPr="00252BC0">
        <w:rPr>
          <w:sz w:val="22"/>
          <w:szCs w:val="22"/>
        </w:rPr>
        <w:t>Note: in the model it is assumed that all Low-risk women and Low-risk men are married and that they have 1.0 partners per year</w:t>
      </w:r>
      <w:r w:rsidR="00B1448A" w:rsidRPr="00252BC0">
        <w:rPr>
          <w:sz w:val="22"/>
          <w:szCs w:val="22"/>
        </w:rPr>
        <w:t>.</w:t>
      </w:r>
    </w:p>
    <w:p w14:paraId="16C9A882" w14:textId="77777777" w:rsidR="00820765" w:rsidRPr="00BC741E" w:rsidRDefault="00820765" w:rsidP="00BC741E">
      <w:pPr>
        <w:contextualSpacing/>
        <w:rPr>
          <w:sz w:val="22"/>
          <w:szCs w:val="22"/>
        </w:rPr>
      </w:pPr>
    </w:p>
    <w:p w14:paraId="388FE7BE" w14:textId="069B1650" w:rsidR="00820765" w:rsidRPr="00BC741E" w:rsidRDefault="009A1B9E" w:rsidP="00BC741E">
      <w:pPr>
        <w:contextualSpacing/>
        <w:rPr>
          <w:sz w:val="22"/>
          <w:szCs w:val="22"/>
        </w:rPr>
      </w:pPr>
      <w:r w:rsidRPr="00BC741E">
        <w:rPr>
          <w:sz w:val="22"/>
          <w:szCs w:val="22"/>
        </w:rPr>
        <w:t xml:space="preserve">C. </w:t>
      </w:r>
      <w:r w:rsidR="009C7BC2">
        <w:rPr>
          <w:sz w:val="22"/>
          <w:szCs w:val="22"/>
        </w:rPr>
        <w:t xml:space="preserve"> </w:t>
      </w:r>
      <w:r w:rsidR="00820765" w:rsidRPr="00BC741E">
        <w:rPr>
          <w:sz w:val="22"/>
          <w:szCs w:val="22"/>
        </w:rPr>
        <w:t xml:space="preserve">For each of </w:t>
      </w:r>
      <w:r w:rsidRPr="00BC741E">
        <w:rPr>
          <w:sz w:val="22"/>
          <w:szCs w:val="22"/>
        </w:rPr>
        <w:t xml:space="preserve">the four types of </w:t>
      </w:r>
      <w:r w:rsidR="00820765" w:rsidRPr="00BC741E">
        <w:rPr>
          <w:sz w:val="22"/>
          <w:szCs w:val="22"/>
        </w:rPr>
        <w:t>partnership</w:t>
      </w:r>
      <w:r w:rsidRPr="00BC741E">
        <w:rPr>
          <w:sz w:val="22"/>
          <w:szCs w:val="22"/>
        </w:rPr>
        <w:t xml:space="preserve">s </w:t>
      </w:r>
      <w:r w:rsidR="00820765" w:rsidRPr="00BC741E">
        <w:rPr>
          <w:sz w:val="22"/>
          <w:szCs w:val="22"/>
        </w:rPr>
        <w:t xml:space="preserve">in the model: </w:t>
      </w:r>
    </w:p>
    <w:p w14:paraId="5AC78FBB" w14:textId="673CA055" w:rsidR="008C0A41" w:rsidRPr="00BC741E" w:rsidRDefault="00BD4CC0" w:rsidP="00BC74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Number of sexual contacts per partnership per year</w:t>
      </w:r>
      <w:r w:rsidR="00EB05BF" w:rsidRPr="00BC741E">
        <w:rPr>
          <w:rFonts w:ascii="Times New Roman" w:hAnsi="Times New Roman" w:cs="Times New Roman"/>
        </w:rPr>
        <w:t>;</w:t>
      </w:r>
      <w:r w:rsidRPr="00BC741E">
        <w:rPr>
          <w:rFonts w:ascii="Times New Roman" w:hAnsi="Times New Roman" w:cs="Times New Roman"/>
        </w:rPr>
        <w:t xml:space="preserve"> </w:t>
      </w:r>
    </w:p>
    <w:p w14:paraId="5876DBBD" w14:textId="06B3A7CC" w:rsidR="00BD4CC0" w:rsidRPr="00BC741E" w:rsidRDefault="00BD4CC0" w:rsidP="00BC74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 xml:space="preserve">Proportion of contacts where a condom </w:t>
      </w:r>
      <w:r w:rsidR="00A55224">
        <w:rPr>
          <w:rFonts w:ascii="Times New Roman" w:hAnsi="Times New Roman" w:cs="Times New Roman"/>
        </w:rPr>
        <w:t>i</w:t>
      </w:r>
      <w:r w:rsidR="00A55224" w:rsidRPr="00BC741E">
        <w:rPr>
          <w:rFonts w:ascii="Times New Roman" w:hAnsi="Times New Roman" w:cs="Times New Roman"/>
        </w:rPr>
        <w:t xml:space="preserve">s </w:t>
      </w:r>
      <w:r w:rsidRPr="00BC741E">
        <w:rPr>
          <w:rFonts w:ascii="Times New Roman" w:hAnsi="Times New Roman" w:cs="Times New Roman"/>
        </w:rPr>
        <w:t>used.</w:t>
      </w:r>
    </w:p>
    <w:p w14:paraId="545438A1" w14:textId="3E0D5EEA" w:rsidR="001B4D79" w:rsidRPr="00BC741E" w:rsidRDefault="001B4D79" w:rsidP="00BC741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1FF1C76" w14:textId="52D7E25E" w:rsidR="001B4D79" w:rsidRPr="00BC741E" w:rsidRDefault="001B4D79" w:rsidP="00B1448A">
      <w:pPr>
        <w:ind w:left="360"/>
        <w:rPr>
          <w:sz w:val="22"/>
          <w:szCs w:val="22"/>
        </w:rPr>
      </w:pPr>
      <w:r w:rsidRPr="00BC741E">
        <w:rPr>
          <w:sz w:val="22"/>
          <w:szCs w:val="22"/>
        </w:rPr>
        <w:t>For Low- and Medium-risk men and women, as well as for High-risk men i.e. FSW clients, all 4 parameters under B and C are typically informed by self-reported behaviours in DHS and other representative community/ household surveys. For FSW and MSM, these behavioural characteristics are typically measured in IBBS or HIV/STI sentinel surveys.</w:t>
      </w:r>
    </w:p>
    <w:p w14:paraId="6A12194E" w14:textId="77777777" w:rsidR="001B4D79" w:rsidRPr="00BC741E" w:rsidRDefault="001B4D79" w:rsidP="00BC741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565BEF1" w14:textId="6DE17A11" w:rsidR="00312717" w:rsidRPr="00BC741E" w:rsidRDefault="009A1B9E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 xml:space="preserve">D. </w:t>
      </w:r>
      <w:r w:rsidR="0024110D" w:rsidRPr="00BC741E">
        <w:rPr>
          <w:sz w:val="22"/>
          <w:szCs w:val="22"/>
        </w:rPr>
        <w:t>F</w:t>
      </w:r>
      <w:r w:rsidR="007950CF" w:rsidRPr="00BC741E">
        <w:rPr>
          <w:sz w:val="22"/>
          <w:szCs w:val="22"/>
        </w:rPr>
        <w:t xml:space="preserve">or FSW, the average duration of </w:t>
      </w:r>
      <w:r w:rsidR="00A55224">
        <w:rPr>
          <w:sz w:val="22"/>
          <w:szCs w:val="22"/>
        </w:rPr>
        <w:t xml:space="preserve">the career of </w:t>
      </w:r>
      <w:r w:rsidR="00B1448A">
        <w:rPr>
          <w:sz w:val="22"/>
          <w:szCs w:val="22"/>
        </w:rPr>
        <w:t xml:space="preserve">being </w:t>
      </w:r>
      <w:r w:rsidR="00A55224">
        <w:rPr>
          <w:sz w:val="22"/>
          <w:szCs w:val="22"/>
        </w:rPr>
        <w:t xml:space="preserve">a </w:t>
      </w:r>
      <w:r w:rsidR="007950CF" w:rsidRPr="00BC741E">
        <w:rPr>
          <w:sz w:val="22"/>
          <w:szCs w:val="22"/>
        </w:rPr>
        <w:t xml:space="preserve">FSW </w:t>
      </w:r>
      <w:r w:rsidRPr="00BC741E">
        <w:rPr>
          <w:sz w:val="22"/>
          <w:szCs w:val="22"/>
        </w:rPr>
        <w:t>(in years)</w:t>
      </w:r>
      <w:r w:rsidR="00312717" w:rsidRPr="00BC741E">
        <w:rPr>
          <w:sz w:val="22"/>
          <w:szCs w:val="22"/>
        </w:rPr>
        <w:t xml:space="preserve">. This can be informed from any of the following </w:t>
      </w:r>
      <w:r w:rsidR="00A55224">
        <w:rPr>
          <w:sz w:val="22"/>
          <w:szCs w:val="22"/>
        </w:rPr>
        <w:t>data</w:t>
      </w:r>
      <w:r w:rsidR="00B1448A">
        <w:rPr>
          <w:sz w:val="22"/>
          <w:szCs w:val="22"/>
        </w:rPr>
        <w:t>,</w:t>
      </w:r>
      <w:r w:rsidR="00A55224">
        <w:rPr>
          <w:sz w:val="22"/>
          <w:szCs w:val="22"/>
        </w:rPr>
        <w:t xml:space="preserve"> </w:t>
      </w:r>
      <w:r w:rsidR="00A55224" w:rsidRPr="00BC741E">
        <w:rPr>
          <w:sz w:val="22"/>
          <w:szCs w:val="22"/>
        </w:rPr>
        <w:t xml:space="preserve">which are measured in IBBS or sentinel surveys, and converted into a career duration estimate according to </w:t>
      </w:r>
      <w:r w:rsidR="00B1448A">
        <w:rPr>
          <w:sz w:val="22"/>
          <w:szCs w:val="22"/>
        </w:rPr>
        <w:fldChar w:fldCharType="begin"/>
      </w:r>
      <w:r w:rsidR="00B1448A">
        <w:rPr>
          <w:sz w:val="22"/>
          <w:szCs w:val="22"/>
        </w:rPr>
        <w:instrText xml:space="preserve"> ADDIN EN.CITE &lt;EndNote&gt;&lt;Cite&gt;&lt;Author&gt;Fazito&lt;/Author&gt;&lt;Year&gt;2012&lt;/Year&gt;&lt;RecNum&gt;6680&lt;/RecNum&gt;&lt;DisplayText&gt;[9]&lt;/DisplayText&gt;&lt;record&gt;&lt;rec-number&gt;6680&lt;/rec-number&gt;&lt;foreign-keys&gt;&lt;key app="EN" db-id="5a9pfaartferdmee5a0xxz0gw5r5dxp529ax" timestamp="1592921164"&gt;6680&lt;/key&gt;&lt;/foreign-keys&gt;&lt;ref-type name="Journal Article"&gt;17&lt;/ref-type&gt;&lt;contributors&gt;&lt;authors&gt;&lt;author&gt;Fazito, E.&lt;/author&gt;&lt;author&gt;Cuchi, P.&lt;/author&gt;&lt;author&gt;Mahy, M.&lt;/author&gt;&lt;author&gt;Brown, T.&lt;/author&gt;&lt;/authors&gt;&lt;/contributors&gt;&lt;auth-address&gt;University of Brasilia, 26 Chemin Colladon, 1209 Geneve, Suisse, Brasilia, Brazil. erikafazito@gmail.com&lt;/auth-address&gt;&lt;titles&gt;&lt;title&gt;Analysis of duration of risk behaviour for key populations: a literature review&lt;/title&gt;&lt;secondary-title&gt;Sex Transm Infect&lt;/secondary-title&gt;&lt;/titles&gt;&lt;periodical&gt;&lt;full-title&gt;Sex Transm Infect&lt;/full-title&gt;&lt;/periodical&gt;&lt;pages&gt;i24-32&lt;/pages&gt;&lt;volume&gt;88 Suppl 2&lt;/volume&gt;&lt;edition&gt;2012/11/28&lt;/edition&gt;&lt;keywords&gt;&lt;keyword&gt;Africa&lt;/keyword&gt;&lt;keyword&gt;Americas&lt;/keyword&gt;&lt;keyword&gt;Asia&lt;/keyword&gt;&lt;keyword&gt;Drug Users&lt;/keyword&gt;&lt;keyword&gt;Female&lt;/keyword&gt;&lt;keyword&gt;Humans&lt;/keyword&gt;&lt;keyword&gt;Male&lt;/keyword&gt;&lt;keyword&gt;*Risk-Taking&lt;/keyword&gt;&lt;keyword&gt;Sex Workers&lt;/keyword&gt;&lt;keyword&gt;Time Factors&lt;/keyword&gt;&lt;/keywords&gt;&lt;dates&gt;&lt;year&gt;2012&lt;/year&gt;&lt;pub-dates&gt;&lt;date&gt;Dec&lt;/date&gt;&lt;/pub-dates&gt;&lt;/dates&gt;&lt;isbn&gt;1472-3263 (Electronic)&amp;#xD;1368-4973 (Linking)&lt;/isbn&gt;&lt;accession-num&gt;23172343&lt;/accession-num&gt;&lt;urls&gt;&lt;related-urls&gt;&lt;url&gt;https://www.ncbi.nlm.nih.gov/pubmed/23172343&lt;/url&gt;&lt;/related-urls&gt;&lt;/urls&gt;&lt;custom2&gt;PMC3512397&lt;/custom2&gt;&lt;electronic-resource-num&gt;10.1136/sextrans-2012-050647&lt;/electronic-resource-num&gt;&lt;/record&gt;&lt;/Cite&gt;&lt;/EndNote&gt;</w:instrText>
      </w:r>
      <w:r w:rsidR="00B1448A">
        <w:rPr>
          <w:sz w:val="22"/>
          <w:szCs w:val="22"/>
        </w:rPr>
        <w:fldChar w:fldCharType="separate"/>
      </w:r>
      <w:r w:rsidR="00B1448A">
        <w:rPr>
          <w:noProof/>
          <w:sz w:val="22"/>
          <w:szCs w:val="22"/>
        </w:rPr>
        <w:t>[</w:t>
      </w:r>
      <w:hyperlink w:anchor="_ENREF_9" w:tooltip="Fazito, 2012 #6680" w:history="1">
        <w:r w:rsidR="00B1448A">
          <w:rPr>
            <w:noProof/>
            <w:sz w:val="22"/>
            <w:szCs w:val="22"/>
          </w:rPr>
          <w:t>9</w:t>
        </w:r>
      </w:hyperlink>
      <w:r w:rsidR="00B1448A">
        <w:rPr>
          <w:noProof/>
          <w:sz w:val="22"/>
          <w:szCs w:val="22"/>
        </w:rPr>
        <w:t>]</w:t>
      </w:r>
      <w:r w:rsidR="00B1448A">
        <w:rPr>
          <w:sz w:val="22"/>
          <w:szCs w:val="22"/>
        </w:rPr>
        <w:fldChar w:fldCharType="end"/>
      </w:r>
      <w:r w:rsidR="00B1448A">
        <w:rPr>
          <w:sz w:val="22"/>
          <w:szCs w:val="22"/>
        </w:rPr>
        <w:t>:</w:t>
      </w:r>
      <w:r w:rsidR="00312717" w:rsidRPr="00BC741E">
        <w:rPr>
          <w:sz w:val="22"/>
          <w:szCs w:val="22"/>
        </w:rPr>
        <w:t xml:space="preserve"> </w:t>
      </w:r>
    </w:p>
    <w:p w14:paraId="427215F6" w14:textId="481C6BF0" w:rsidR="00312717" w:rsidRPr="00BC741E" w:rsidRDefault="00312717" w:rsidP="00BC74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 xml:space="preserve">the time a woman spent being an FSW until death or cessation of sex work; </w:t>
      </w:r>
    </w:p>
    <w:p w14:paraId="2DC15F2D" w14:textId="023D1C92" w:rsidR="00312717" w:rsidRPr="00BC741E" w:rsidRDefault="00312717" w:rsidP="00BC74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 xml:space="preserve">% of a sample of FSW who </w:t>
      </w:r>
      <w:r w:rsidR="00B1448A">
        <w:rPr>
          <w:rFonts w:ascii="Times New Roman" w:hAnsi="Times New Roman" w:cs="Times New Roman"/>
        </w:rPr>
        <w:t xml:space="preserve">report having started being a FSW within the past </w:t>
      </w:r>
      <w:r w:rsidRPr="00BC741E">
        <w:rPr>
          <w:rFonts w:ascii="Times New Roman" w:hAnsi="Times New Roman" w:cs="Times New Roman"/>
        </w:rPr>
        <w:t xml:space="preserve">year; </w:t>
      </w:r>
    </w:p>
    <w:p w14:paraId="6E6D0EE5" w14:textId="651DF6ED" w:rsidR="00312717" w:rsidRPr="00BC741E" w:rsidRDefault="00312717" w:rsidP="00BC74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mean or median duration of being an FSW, from a representative sample</w:t>
      </w:r>
      <w:r w:rsidR="00B1448A">
        <w:rPr>
          <w:rFonts w:ascii="Times New Roman" w:hAnsi="Times New Roman" w:cs="Times New Roman"/>
        </w:rPr>
        <w:t>.</w:t>
      </w:r>
    </w:p>
    <w:p w14:paraId="6C7F23D5" w14:textId="4A72C754" w:rsidR="008C0A41" w:rsidRPr="00BC741E" w:rsidRDefault="008C0A41" w:rsidP="00BC741E">
      <w:pPr>
        <w:rPr>
          <w:sz w:val="22"/>
          <w:szCs w:val="22"/>
        </w:rPr>
      </w:pPr>
    </w:p>
    <w:p w14:paraId="0BC3C839" w14:textId="3EE46A86" w:rsidR="00ED45EB" w:rsidRPr="00BC741E" w:rsidRDefault="007950CF" w:rsidP="00BC741E">
      <w:pPr>
        <w:contextualSpacing/>
        <w:rPr>
          <w:sz w:val="22"/>
          <w:szCs w:val="22"/>
        </w:rPr>
      </w:pPr>
      <w:r w:rsidRPr="00BC741E">
        <w:rPr>
          <w:sz w:val="22"/>
          <w:szCs w:val="22"/>
        </w:rPr>
        <w:lastRenderedPageBreak/>
        <w:t xml:space="preserve">If </w:t>
      </w:r>
      <w:r w:rsidR="009A1B9E" w:rsidRPr="00BC741E">
        <w:rPr>
          <w:sz w:val="22"/>
          <w:szCs w:val="22"/>
        </w:rPr>
        <w:t>some of these data</w:t>
      </w:r>
      <w:r w:rsidRPr="00BC741E">
        <w:rPr>
          <w:sz w:val="22"/>
          <w:szCs w:val="22"/>
        </w:rPr>
        <w:t xml:space="preserve"> are not available for </w:t>
      </w:r>
      <w:r w:rsidR="009A1B9E" w:rsidRPr="00BC741E">
        <w:rPr>
          <w:sz w:val="22"/>
          <w:szCs w:val="22"/>
        </w:rPr>
        <w:t xml:space="preserve">a </w:t>
      </w:r>
      <w:r w:rsidRPr="00BC741E">
        <w:rPr>
          <w:sz w:val="22"/>
          <w:szCs w:val="22"/>
        </w:rPr>
        <w:t xml:space="preserve">country, then the model can be calibrated using data from a neighbouring country or </w:t>
      </w:r>
      <w:r w:rsidR="009A1B9E" w:rsidRPr="00BC741E">
        <w:rPr>
          <w:sz w:val="22"/>
          <w:szCs w:val="22"/>
        </w:rPr>
        <w:t>an</w:t>
      </w:r>
      <w:r w:rsidRPr="00BC741E">
        <w:rPr>
          <w:sz w:val="22"/>
          <w:szCs w:val="22"/>
        </w:rPr>
        <w:t xml:space="preserve">other country with similar socio-demographic and health-related characteristics. </w:t>
      </w:r>
      <w:r w:rsidR="00ED45EB" w:rsidRPr="00BC741E">
        <w:rPr>
          <w:sz w:val="22"/>
          <w:szCs w:val="22"/>
        </w:rPr>
        <w:t xml:space="preserve">Also, for 63 low- and middle-income countries Avenir Health has available up-to-date model representations of the national HIV epidemic (in the Spectrum-Goals model </w:t>
      </w:r>
      <w:r w:rsidR="00B1448A">
        <w:rPr>
          <w:sz w:val="22"/>
          <w:szCs w:val="22"/>
        </w:rPr>
        <w:fldChar w:fldCharType="begin"/>
      </w:r>
      <w:r w:rsidR="00B1448A">
        <w:rPr>
          <w:sz w:val="22"/>
          <w:szCs w:val="22"/>
        </w:rPr>
        <w:instrText xml:space="preserve"> ADDIN EN.CITE &lt;EndNote&gt;&lt;Cite&gt;&lt;Author&gt;Avenir Health&lt;/Author&gt;&lt;Year&gt;2011&lt;/Year&gt;&lt;RecNum&gt;4935&lt;/RecNum&gt;&lt;DisplayText&gt;[5]&lt;/DisplayText&gt;&lt;record&gt;&lt;rec-number&gt;4935&lt;/rec-number&gt;&lt;foreign-keys&gt;&lt;key app="EN" db-id="5a9pfaartferdmee5a0xxz0gw5r5dxp529ax" timestamp="0"&gt;4935&lt;/key&gt;&lt;/foreign-keys&gt;&lt;ref-type name="Report"&gt;27&lt;/ref-type&gt;&lt;contributors&gt;&lt;authors&gt;&lt;author&gt;Avenir Health,&lt;/author&gt;&lt;/authors&gt;&lt;/contributors&gt;&lt;titles&gt;&lt;title&gt;Goals manual: a model for estimating the effects of interventions and resource allocation on HIV infections and deaths&lt;/title&gt;&lt;/titles&gt;&lt;dates&gt;&lt;year&gt;2011&lt;/year&gt;&lt;pub-dates&gt;&lt;date&gt;August&lt;/date&gt;&lt;/pub-dates&gt;&lt;/dates&gt;&lt;pub-location&gt;Glastonbury, CT&lt;/pub-location&gt;&lt;urls&gt;&lt;related-urls&gt;&lt;url&gt;http://www.avenirhealth.org/Download/Spectrum/Manuals/Goals_Manual_August_2011.pdf&lt;/url&gt;&lt;/related-urls&gt;&lt;/urls&gt;&lt;/record&gt;&lt;/Cite&gt;&lt;/EndNote&gt;</w:instrText>
      </w:r>
      <w:r w:rsidR="00B1448A">
        <w:rPr>
          <w:sz w:val="22"/>
          <w:szCs w:val="22"/>
        </w:rPr>
        <w:fldChar w:fldCharType="separate"/>
      </w:r>
      <w:r w:rsidR="00B1448A">
        <w:rPr>
          <w:noProof/>
          <w:sz w:val="22"/>
          <w:szCs w:val="22"/>
        </w:rPr>
        <w:t>[</w:t>
      </w:r>
      <w:hyperlink w:anchor="_ENREF_5" w:tooltip="Avenir Health, 2011 #4935" w:history="1">
        <w:r w:rsidR="00B1448A">
          <w:rPr>
            <w:noProof/>
            <w:sz w:val="22"/>
            <w:szCs w:val="22"/>
          </w:rPr>
          <w:t>5</w:t>
        </w:r>
      </w:hyperlink>
      <w:r w:rsidR="00B1448A">
        <w:rPr>
          <w:noProof/>
          <w:sz w:val="22"/>
          <w:szCs w:val="22"/>
        </w:rPr>
        <w:t>]</w:t>
      </w:r>
      <w:r w:rsidR="00B1448A">
        <w:rPr>
          <w:sz w:val="22"/>
          <w:szCs w:val="22"/>
        </w:rPr>
        <w:fldChar w:fldCharType="end"/>
      </w:r>
      <w:r w:rsidR="00ED45EB" w:rsidRPr="00BC741E">
        <w:rPr>
          <w:sz w:val="22"/>
          <w:szCs w:val="22"/>
        </w:rPr>
        <w:t>, which uses a similar risk groups structure), which can serve as starting point for most behavioural and population size</w:t>
      </w:r>
      <w:r w:rsidR="001B4D79" w:rsidRPr="00BC741E">
        <w:rPr>
          <w:sz w:val="22"/>
          <w:szCs w:val="22"/>
        </w:rPr>
        <w:t xml:space="preserve"> (and FSW duration)</w:t>
      </w:r>
      <w:r w:rsidR="00ED45EB" w:rsidRPr="00BC741E">
        <w:rPr>
          <w:sz w:val="22"/>
          <w:szCs w:val="22"/>
        </w:rPr>
        <w:t xml:space="preserve"> parameters also used by the SITE model.</w:t>
      </w:r>
    </w:p>
    <w:p w14:paraId="6490AB56" w14:textId="125DA969" w:rsidR="00BD4CC0" w:rsidRPr="00BC741E" w:rsidRDefault="00BD4CC0" w:rsidP="00BC741E">
      <w:pPr>
        <w:contextualSpacing/>
        <w:rPr>
          <w:sz w:val="22"/>
          <w:szCs w:val="22"/>
        </w:rPr>
      </w:pPr>
    </w:p>
    <w:p w14:paraId="5208BD46" w14:textId="77777777" w:rsidR="001B4D79" w:rsidRPr="00BC741E" w:rsidRDefault="001B4D79" w:rsidP="00BC741E">
      <w:pPr>
        <w:contextualSpacing/>
        <w:rPr>
          <w:b/>
          <w:bCs/>
          <w:sz w:val="22"/>
          <w:szCs w:val="22"/>
          <w:u w:val="single"/>
        </w:rPr>
      </w:pPr>
    </w:p>
    <w:p w14:paraId="154C74D8" w14:textId="31CAF43E" w:rsidR="00C91F6F" w:rsidRPr="00BC741E" w:rsidRDefault="00C91F6F" w:rsidP="00BC741E">
      <w:pPr>
        <w:contextualSpacing/>
        <w:rPr>
          <w:b/>
          <w:bCs/>
          <w:sz w:val="22"/>
          <w:szCs w:val="22"/>
          <w:u w:val="single"/>
        </w:rPr>
      </w:pPr>
      <w:r w:rsidRPr="00BC741E">
        <w:rPr>
          <w:b/>
          <w:bCs/>
          <w:sz w:val="22"/>
          <w:szCs w:val="22"/>
          <w:u w:val="single"/>
        </w:rPr>
        <w:t>4. Program and intervention service coverage</w:t>
      </w:r>
    </w:p>
    <w:p w14:paraId="771823E0" w14:textId="03C61408" w:rsidR="00DF78D8" w:rsidRPr="00BC741E" w:rsidRDefault="001B4D79" w:rsidP="00BC741E">
      <w:pPr>
        <w:contextualSpacing/>
        <w:rPr>
          <w:sz w:val="22"/>
          <w:szCs w:val="22"/>
        </w:rPr>
      </w:pPr>
      <w:r w:rsidRPr="00BC741E">
        <w:rPr>
          <w:sz w:val="22"/>
          <w:szCs w:val="22"/>
        </w:rPr>
        <w:t>The model allows the user to explore several health care interventions for syphilis, including screening followed by treatment, clinic-based symptom-driven treatment, and contact tracing of index patients treated clinically. The model requires the user to specify past and current coverage for each intervention, separately for each of the 7 risk groups.</w:t>
      </w:r>
      <w:r w:rsidRPr="00BC741E">
        <w:rPr>
          <w:sz w:val="22"/>
          <w:szCs w:val="22"/>
          <w:u w:val="single"/>
        </w:rPr>
        <w:t xml:space="preserve"> Table 3</w:t>
      </w:r>
      <w:r w:rsidRPr="00BC741E">
        <w:rPr>
          <w:sz w:val="22"/>
          <w:szCs w:val="22"/>
        </w:rPr>
        <w:t xml:space="preserve"> lists data sources that users can consult to inform these parameters. </w:t>
      </w:r>
    </w:p>
    <w:p w14:paraId="55108AEE" w14:textId="349AE196" w:rsidR="00DF78D8" w:rsidRPr="00BC741E" w:rsidRDefault="00DF78D8" w:rsidP="00BC741E">
      <w:pPr>
        <w:contextualSpacing/>
        <w:rPr>
          <w:sz w:val="22"/>
          <w:szCs w:val="22"/>
        </w:rPr>
      </w:pPr>
    </w:p>
    <w:p w14:paraId="523D3BE6" w14:textId="523A771A" w:rsidR="001B4D79" w:rsidRPr="00BC741E" w:rsidRDefault="001B4D79" w:rsidP="00BC741E">
      <w:pPr>
        <w:contextualSpacing/>
        <w:rPr>
          <w:sz w:val="22"/>
          <w:szCs w:val="22"/>
        </w:rPr>
      </w:pPr>
      <w:r w:rsidRPr="00BC741E">
        <w:rPr>
          <w:sz w:val="22"/>
          <w:szCs w:val="22"/>
        </w:rPr>
        <w:t>The historic coverage (1970-2020) can then be used to set relevant targets for future years (2021-2050) to explore in the model scenarios.</w:t>
      </w:r>
    </w:p>
    <w:p w14:paraId="06307EC9" w14:textId="2B65EAF6" w:rsidR="00023295" w:rsidRPr="00BC741E" w:rsidRDefault="00023295" w:rsidP="00BC741E">
      <w:pPr>
        <w:contextualSpacing/>
        <w:rPr>
          <w:b/>
          <w:bCs/>
          <w:sz w:val="22"/>
          <w:szCs w:val="22"/>
        </w:rPr>
      </w:pPr>
    </w:p>
    <w:p w14:paraId="6249CABD" w14:textId="54E301D4" w:rsidR="001B4D79" w:rsidRPr="00BC741E" w:rsidRDefault="001B4D79" w:rsidP="00BC741E">
      <w:pPr>
        <w:contextualSpacing/>
        <w:rPr>
          <w:sz w:val="22"/>
          <w:szCs w:val="22"/>
        </w:rPr>
      </w:pPr>
      <w:r w:rsidRPr="00BC741E">
        <w:rPr>
          <w:sz w:val="22"/>
          <w:szCs w:val="22"/>
        </w:rPr>
        <w:t>For syphilis screening, the model requires coverage to be specified, in each of the 7 risk groups, for two diagnostic test algorithms:</w:t>
      </w:r>
    </w:p>
    <w:p w14:paraId="43F3A414" w14:textId="1EBA0C13" w:rsidR="001B4D79" w:rsidRPr="00BC741E" w:rsidRDefault="001B4D79" w:rsidP="00BC741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RPR (with or without TPHA)</w:t>
      </w:r>
    </w:p>
    <w:p w14:paraId="74EA70EC" w14:textId="1E863C0A" w:rsidR="001B4D79" w:rsidRPr="00BC741E" w:rsidRDefault="001B4D79" w:rsidP="00BC741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TPHA alone (i.e</w:t>
      </w:r>
      <w:r w:rsidR="00BC741E" w:rsidRPr="00BC741E">
        <w:rPr>
          <w:rFonts w:ascii="Times New Roman" w:hAnsi="Times New Roman" w:cs="Times New Roman"/>
        </w:rPr>
        <w:t>.</w:t>
      </w:r>
      <w:r w:rsidRPr="00BC741E">
        <w:rPr>
          <w:rFonts w:ascii="Times New Roman" w:hAnsi="Times New Roman" w:cs="Times New Roman"/>
        </w:rPr>
        <w:t xml:space="preserve"> no RPR test). </w:t>
      </w:r>
    </w:p>
    <w:p w14:paraId="60FB0FE2" w14:textId="77777777" w:rsidR="001B4D79" w:rsidRPr="00BC741E" w:rsidRDefault="001B4D79" w:rsidP="00BC741E">
      <w:pPr>
        <w:contextualSpacing/>
        <w:rPr>
          <w:sz w:val="22"/>
          <w:szCs w:val="22"/>
        </w:rPr>
      </w:pPr>
    </w:p>
    <w:p w14:paraId="1A9D3E93" w14:textId="70D671B7" w:rsidR="001B4D79" w:rsidRPr="00BC741E" w:rsidRDefault="001B4D79" w:rsidP="00BC741E">
      <w:pPr>
        <w:contextualSpacing/>
        <w:rPr>
          <w:sz w:val="22"/>
          <w:szCs w:val="22"/>
        </w:rPr>
      </w:pPr>
      <w:r w:rsidRPr="00BC741E">
        <w:rPr>
          <w:sz w:val="22"/>
          <w:szCs w:val="22"/>
        </w:rPr>
        <w:t xml:space="preserve">This distinction is required because the </w:t>
      </w:r>
      <w:r w:rsidR="00BC741E" w:rsidRPr="00BC741E">
        <w:rPr>
          <w:sz w:val="22"/>
          <w:szCs w:val="22"/>
        </w:rPr>
        <w:t>‘</w:t>
      </w:r>
      <w:r w:rsidRPr="00BC741E">
        <w:rPr>
          <w:sz w:val="22"/>
          <w:szCs w:val="22"/>
        </w:rPr>
        <w:t xml:space="preserve">TPHA </w:t>
      </w:r>
      <w:r w:rsidR="00BC741E" w:rsidRPr="00BC741E">
        <w:rPr>
          <w:sz w:val="22"/>
          <w:szCs w:val="22"/>
        </w:rPr>
        <w:t xml:space="preserve">alone’ </w:t>
      </w:r>
      <w:r w:rsidRPr="00BC741E">
        <w:rPr>
          <w:sz w:val="22"/>
          <w:szCs w:val="22"/>
        </w:rPr>
        <w:t>algorithm will pick up individuals cured from syphilis but still TPHA-positive (Compartment 6 of the model’s natural history flow chart), but who in a test</w:t>
      </w:r>
      <w:r w:rsidR="00BC741E" w:rsidRPr="00BC741E">
        <w:rPr>
          <w:sz w:val="22"/>
          <w:szCs w:val="22"/>
        </w:rPr>
        <w:t>-</w:t>
      </w:r>
      <w:r w:rsidRPr="00BC741E">
        <w:rPr>
          <w:sz w:val="22"/>
          <w:szCs w:val="22"/>
        </w:rPr>
        <w:t>and</w:t>
      </w:r>
      <w:r w:rsidR="00BC741E" w:rsidRPr="00BC741E">
        <w:rPr>
          <w:sz w:val="22"/>
          <w:szCs w:val="22"/>
        </w:rPr>
        <w:t>-</w:t>
      </w:r>
      <w:r w:rsidRPr="00BC741E">
        <w:rPr>
          <w:sz w:val="22"/>
          <w:szCs w:val="22"/>
        </w:rPr>
        <w:t>treat protocol will still be treated</w:t>
      </w:r>
      <w:r w:rsidR="00BC741E" w:rsidRPr="00BC741E">
        <w:rPr>
          <w:sz w:val="22"/>
          <w:szCs w:val="22"/>
        </w:rPr>
        <w:t>,</w:t>
      </w:r>
      <w:r w:rsidRPr="00BC741E">
        <w:rPr>
          <w:sz w:val="22"/>
          <w:szCs w:val="22"/>
        </w:rPr>
        <w:t xml:space="preserve"> which has repercussions for costing and cost-effectiveness of the screening scenario.</w:t>
      </w:r>
    </w:p>
    <w:p w14:paraId="1D764F57" w14:textId="77777777" w:rsidR="001B4D79" w:rsidRPr="00BC741E" w:rsidRDefault="001B4D79" w:rsidP="00BC741E">
      <w:pPr>
        <w:contextualSpacing/>
        <w:rPr>
          <w:sz w:val="22"/>
          <w:szCs w:val="22"/>
        </w:rPr>
      </w:pPr>
    </w:p>
    <w:p w14:paraId="1A3044E2" w14:textId="77777777" w:rsidR="001B4D79" w:rsidRPr="00BC741E" w:rsidRDefault="001B4D79" w:rsidP="00BC741E">
      <w:pPr>
        <w:contextualSpacing/>
        <w:rPr>
          <w:b/>
          <w:bCs/>
          <w:sz w:val="22"/>
          <w:szCs w:val="22"/>
        </w:rPr>
      </w:pPr>
    </w:p>
    <w:p w14:paraId="61B0175C" w14:textId="3F40CB03" w:rsidR="00C91F6F" w:rsidRPr="00BC741E" w:rsidRDefault="0024110D" w:rsidP="00BC741E">
      <w:pPr>
        <w:contextualSpacing/>
        <w:rPr>
          <w:b/>
          <w:bCs/>
          <w:sz w:val="22"/>
          <w:szCs w:val="22"/>
        </w:rPr>
      </w:pPr>
      <w:r w:rsidRPr="00BC741E">
        <w:rPr>
          <w:b/>
          <w:bCs/>
          <w:sz w:val="22"/>
          <w:szCs w:val="22"/>
        </w:rPr>
        <w:t xml:space="preserve">Table </w:t>
      </w:r>
      <w:r w:rsidR="001B4D79" w:rsidRPr="00BC741E">
        <w:rPr>
          <w:b/>
          <w:bCs/>
          <w:sz w:val="22"/>
          <w:szCs w:val="22"/>
        </w:rPr>
        <w:t>3</w:t>
      </w:r>
      <w:r w:rsidRPr="00BC741E">
        <w:rPr>
          <w:b/>
          <w:bCs/>
          <w:sz w:val="22"/>
          <w:szCs w:val="22"/>
        </w:rPr>
        <w:t xml:space="preserve">. Types and sources for data on </w:t>
      </w:r>
      <w:r w:rsidR="00DF78D8" w:rsidRPr="00BC741E">
        <w:rPr>
          <w:b/>
          <w:bCs/>
          <w:sz w:val="22"/>
          <w:szCs w:val="22"/>
        </w:rPr>
        <w:t xml:space="preserve">syphilis </w:t>
      </w:r>
      <w:r w:rsidRPr="00BC741E">
        <w:rPr>
          <w:b/>
          <w:bCs/>
          <w:sz w:val="22"/>
          <w:szCs w:val="22"/>
        </w:rPr>
        <w:t>program intervention/service coverage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605"/>
        <w:gridCol w:w="5220"/>
        <w:gridCol w:w="2610"/>
      </w:tblGrid>
      <w:tr w:rsidR="0024110D" w:rsidRPr="00BC741E" w14:paraId="35B512DF" w14:textId="77777777" w:rsidTr="0024110D">
        <w:trPr>
          <w:tblHeader/>
        </w:trPr>
        <w:tc>
          <w:tcPr>
            <w:tcW w:w="2605" w:type="dxa"/>
          </w:tcPr>
          <w:p w14:paraId="0B741B42" w14:textId="1049812D" w:rsidR="0024110D" w:rsidRPr="00BC741E" w:rsidRDefault="0024110D" w:rsidP="00BC741E">
            <w:pPr>
              <w:contextualSpacing/>
              <w:rPr>
                <w:b/>
                <w:bCs/>
                <w:sz w:val="22"/>
                <w:szCs w:val="22"/>
              </w:rPr>
            </w:pPr>
            <w:r w:rsidRPr="00BC741E">
              <w:rPr>
                <w:b/>
                <w:bCs/>
                <w:sz w:val="22"/>
                <w:szCs w:val="22"/>
              </w:rPr>
              <w:t>Intervention</w:t>
            </w:r>
          </w:p>
        </w:tc>
        <w:tc>
          <w:tcPr>
            <w:tcW w:w="5220" w:type="dxa"/>
          </w:tcPr>
          <w:p w14:paraId="0046597E" w14:textId="00DC1232" w:rsidR="0024110D" w:rsidRPr="00BC741E" w:rsidRDefault="0024110D" w:rsidP="00BC741E">
            <w:pPr>
              <w:contextualSpacing/>
              <w:rPr>
                <w:b/>
                <w:bCs/>
                <w:sz w:val="22"/>
                <w:szCs w:val="22"/>
              </w:rPr>
            </w:pPr>
            <w:r w:rsidRPr="00BC741E">
              <w:rPr>
                <w:b/>
                <w:bCs/>
                <w:sz w:val="22"/>
                <w:szCs w:val="22"/>
              </w:rPr>
              <w:t>Data type</w:t>
            </w:r>
          </w:p>
        </w:tc>
        <w:tc>
          <w:tcPr>
            <w:tcW w:w="2610" w:type="dxa"/>
          </w:tcPr>
          <w:p w14:paraId="25E3F830" w14:textId="006C7CE9" w:rsidR="0024110D" w:rsidRPr="00BC741E" w:rsidRDefault="0024110D" w:rsidP="00BC741E">
            <w:pPr>
              <w:contextualSpacing/>
              <w:rPr>
                <w:b/>
                <w:bCs/>
                <w:sz w:val="22"/>
                <w:szCs w:val="22"/>
              </w:rPr>
            </w:pPr>
            <w:r w:rsidRPr="00BC741E">
              <w:rPr>
                <w:b/>
                <w:bCs/>
                <w:sz w:val="22"/>
                <w:szCs w:val="22"/>
              </w:rPr>
              <w:t>Source</w:t>
            </w:r>
          </w:p>
        </w:tc>
      </w:tr>
      <w:tr w:rsidR="0024110D" w:rsidRPr="00BC741E" w14:paraId="5C715586" w14:textId="77777777" w:rsidTr="0024110D">
        <w:tc>
          <w:tcPr>
            <w:tcW w:w="2605" w:type="dxa"/>
          </w:tcPr>
          <w:p w14:paraId="7EA1B72B" w14:textId="16337BF4" w:rsidR="0024110D" w:rsidRPr="00BC741E" w:rsidRDefault="0024110D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>Clinical syphilis treatment of symptomatic Primary/Secondary phase cases</w:t>
            </w:r>
          </w:p>
        </w:tc>
        <w:tc>
          <w:tcPr>
            <w:tcW w:w="5220" w:type="dxa"/>
          </w:tcPr>
          <w:p w14:paraId="5851593A" w14:textId="77777777" w:rsidR="0024110D" w:rsidRPr="00BC741E" w:rsidRDefault="0024110D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>Routine case reports of Primary &amp; secondary phase cases treated – ideally by clinical stage, sex and for women separately for ANC and non-pregnant women</w:t>
            </w:r>
            <w:r w:rsidR="008C0A41" w:rsidRPr="00BC741E">
              <w:rPr>
                <w:sz w:val="22"/>
                <w:szCs w:val="22"/>
              </w:rPr>
              <w:t xml:space="preserve">. </w:t>
            </w:r>
          </w:p>
          <w:p w14:paraId="1CFCFBBD" w14:textId="1C6A6833" w:rsidR="008C0A41" w:rsidRPr="00BC741E" w:rsidRDefault="008C0A41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 xml:space="preserve">If no data, defer to a default/regional estimate, e.g. from WHO global STI estimates, for countries/regions with low/medium or good STI treatment access </w:t>
            </w:r>
            <w:r w:rsidR="00B1448A">
              <w:rPr>
                <w:sz w:val="22"/>
                <w:szCs w:val="22"/>
              </w:rPr>
              <w:fldChar w:fldCharType="begin"/>
            </w:r>
            <w:r w:rsidR="00B1448A">
              <w:rPr>
                <w:sz w:val="22"/>
                <w:szCs w:val="22"/>
              </w:rPr>
              <w:instrText xml:space="preserve"> ADDIN EN.CITE &lt;EndNote&gt;&lt;Cite&gt;&lt;Author&gt;Newman&lt;/Author&gt;&lt;Year&gt;2015&lt;/Year&gt;&lt;RecNum&gt;5067&lt;/RecNum&gt;&lt;DisplayText&gt;[2]&lt;/DisplayText&gt;&lt;record&gt;&lt;rec-number&gt;5067&lt;/rec-number&gt;&lt;foreign-keys&gt;&lt;key app="EN" db-id="5a9pfaartferdmee5a0xxz0gw5r5dxp529ax" timestamp="0"&gt;5067&lt;/key&gt;&lt;/foreign-keys&gt;&lt;ref-type name="Journal Article"&gt;17&lt;/ref-type&gt;&lt;contributors&gt;&lt;authors&gt;&lt;author&gt;Newman, L.&lt;/author&gt;&lt;author&gt;Rowley, J.&lt;/author&gt;&lt;author&gt;VanderHoorn, S.&lt;/author&gt;&lt;author&gt;Wijesooriya, N.S.&lt;/author&gt;&lt;author&gt;Unemo, M.&lt;/author&gt;&lt;author&gt;Stevens, G.&lt;/author&gt;&lt;author&gt;Kiarie, J.&lt;/author&gt;&lt;author&gt;Temmerman, M.&lt;/author&gt;&lt;/authors&gt;&lt;/contributors&gt;&lt;titles&gt;&lt;title&gt;Global estimates of the prevalence and incidence of four curable sexually transmitted infections in 2012 based on systematic review and global reporting&lt;/title&gt;&lt;secondary-title&gt;PLoS One&lt;/secondary-title&gt;&lt;/titles&gt;&lt;periodical&gt;&lt;full-title&gt;PLoS One&lt;/full-title&gt;&lt;/periodical&gt;&lt;pages&gt;e0143304&lt;/pages&gt;&lt;volume&gt;10&lt;/volume&gt;&lt;number&gt;12&lt;/number&gt;&lt;edition&gt;Dec 8&lt;/edition&gt;&lt;dates&gt;&lt;year&gt;2015&lt;/year&gt;&lt;/dates&gt;&lt;urls&gt;&lt;/urls&gt;&lt;electronic-resource-num&gt;10.1371/journal.pone.0143304&lt;/electronic-resource-num&gt;&lt;/record&gt;&lt;/Cite&gt;&lt;/EndNote&gt;</w:instrText>
            </w:r>
            <w:r w:rsidR="00B1448A">
              <w:rPr>
                <w:sz w:val="22"/>
                <w:szCs w:val="22"/>
              </w:rPr>
              <w:fldChar w:fldCharType="separate"/>
            </w:r>
            <w:r w:rsidR="00B1448A">
              <w:rPr>
                <w:noProof/>
                <w:sz w:val="22"/>
                <w:szCs w:val="22"/>
              </w:rPr>
              <w:t>[</w:t>
            </w:r>
            <w:hyperlink w:anchor="_ENREF_2" w:tooltip="Newman, 2015 #5067" w:history="1">
              <w:r w:rsidR="00B1448A">
                <w:rPr>
                  <w:noProof/>
                  <w:sz w:val="22"/>
                  <w:szCs w:val="22"/>
                </w:rPr>
                <w:t>2</w:t>
              </w:r>
            </w:hyperlink>
            <w:r w:rsidR="00B1448A">
              <w:rPr>
                <w:noProof/>
                <w:sz w:val="22"/>
                <w:szCs w:val="22"/>
              </w:rPr>
              <w:t>]</w:t>
            </w:r>
            <w:r w:rsidR="00B1448A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25B2C56E" w14:textId="3C1D4FF0" w:rsidR="0024110D" w:rsidRPr="00BC741E" w:rsidRDefault="0024110D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>HMIS &amp; DHIS-2</w:t>
            </w:r>
          </w:p>
          <w:p w14:paraId="52DDD96E" w14:textId="77777777" w:rsidR="008C0A41" w:rsidRPr="00BC741E" w:rsidRDefault="0024110D" w:rsidP="00BC741E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444444"/>
                <w:sz w:val="22"/>
                <w:szCs w:val="22"/>
                <w:u w:val="single"/>
              </w:rPr>
            </w:pPr>
            <w:r w:rsidRPr="00BC741E">
              <w:rPr>
                <w:sz w:val="22"/>
                <w:szCs w:val="22"/>
              </w:rPr>
              <w:t>Annual HIV/STI program reports</w:t>
            </w:r>
            <w:r w:rsidR="008C0A41" w:rsidRPr="00BC741E">
              <w:rPr>
                <w:sz w:val="22"/>
                <w:szCs w:val="22"/>
              </w:rPr>
              <w:t xml:space="preserve"> – ideally covering </w:t>
            </w:r>
            <w:r w:rsidR="008C0A41" w:rsidRPr="00BC741E">
              <w:rPr>
                <w:iCs/>
                <w:sz w:val="22"/>
                <w:szCs w:val="22"/>
              </w:rPr>
              <w:t>not only public but also private services</w:t>
            </w:r>
          </w:p>
          <w:p w14:paraId="305232BD" w14:textId="23EB27CE" w:rsidR="0024110D" w:rsidRPr="00BC741E" w:rsidRDefault="0024110D" w:rsidP="00BC741E">
            <w:pPr>
              <w:contextualSpacing/>
              <w:rPr>
                <w:sz w:val="22"/>
                <w:szCs w:val="22"/>
              </w:rPr>
            </w:pPr>
          </w:p>
        </w:tc>
      </w:tr>
      <w:tr w:rsidR="0024110D" w:rsidRPr="00BC741E" w14:paraId="6C7E9464" w14:textId="77777777" w:rsidTr="00BD232A">
        <w:trPr>
          <w:trHeight w:val="1934"/>
        </w:trPr>
        <w:tc>
          <w:tcPr>
            <w:tcW w:w="2605" w:type="dxa"/>
          </w:tcPr>
          <w:p w14:paraId="02EADFDB" w14:textId="294B0EEE" w:rsidR="0024110D" w:rsidRPr="00BC741E" w:rsidRDefault="0024110D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>Syphilis screening &amp; treatment: ANC</w:t>
            </w:r>
          </w:p>
        </w:tc>
        <w:tc>
          <w:tcPr>
            <w:tcW w:w="5220" w:type="dxa"/>
          </w:tcPr>
          <w:p w14:paraId="3F17E9A3" w14:textId="07A585E9" w:rsidR="00BD232A" w:rsidRPr="00BC741E" w:rsidRDefault="00BD232A" w:rsidP="00BC741E">
            <w:pPr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>Product of 3 service coverage indicators:</w:t>
            </w:r>
          </w:p>
          <w:p w14:paraId="08A0DEBE" w14:textId="0B5BFF31" w:rsidR="00BD232A" w:rsidRPr="00BC741E" w:rsidRDefault="00BD232A" w:rsidP="00BC7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6" w:hanging="18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  <w:iCs/>
              </w:rPr>
              <w:t>% of pregnant women who attend ANC at least once</w:t>
            </w:r>
          </w:p>
          <w:p w14:paraId="04D2B0B3" w14:textId="77777777" w:rsidR="00BD232A" w:rsidRPr="00BC741E" w:rsidRDefault="0024110D" w:rsidP="00BC7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6" w:hanging="180"/>
              <w:rPr>
                <w:rFonts w:ascii="Times New Roman" w:hAnsi="Times New Roman" w:cs="Times New Roman"/>
                <w:iCs/>
              </w:rPr>
            </w:pPr>
            <w:r w:rsidRPr="00BC741E">
              <w:rPr>
                <w:rFonts w:ascii="Times New Roman" w:hAnsi="Times New Roman" w:cs="Times New Roman"/>
              </w:rPr>
              <w:t xml:space="preserve">% of </w:t>
            </w:r>
            <w:r w:rsidR="00BD232A" w:rsidRPr="00BC741E">
              <w:rPr>
                <w:rFonts w:ascii="Times New Roman" w:hAnsi="Times New Roman" w:cs="Times New Roman"/>
              </w:rPr>
              <w:t xml:space="preserve">pregnant </w:t>
            </w:r>
            <w:r w:rsidRPr="00BC741E">
              <w:rPr>
                <w:rFonts w:ascii="Times New Roman" w:hAnsi="Times New Roman" w:cs="Times New Roman"/>
              </w:rPr>
              <w:t>women at 1</w:t>
            </w:r>
            <w:r w:rsidRPr="00BC741E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  <w:r w:rsidRPr="00BC741E">
              <w:rPr>
                <w:rFonts w:ascii="Times New Roman" w:hAnsi="Times New Roman" w:cs="Times New Roman"/>
                <w:iCs/>
              </w:rPr>
              <w:t xml:space="preserve"> (or any) ANC visit screened</w:t>
            </w:r>
          </w:p>
          <w:p w14:paraId="33128A33" w14:textId="4284C85A" w:rsidR="0024110D" w:rsidRPr="00BC741E" w:rsidRDefault="0024110D" w:rsidP="00BC7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6" w:hanging="180"/>
              <w:rPr>
                <w:rFonts w:ascii="Times New Roman" w:hAnsi="Times New Roman" w:cs="Times New Roman"/>
                <w:iCs/>
              </w:rPr>
            </w:pPr>
            <w:r w:rsidRPr="00BC741E">
              <w:rPr>
                <w:rFonts w:ascii="Times New Roman" w:hAnsi="Times New Roman" w:cs="Times New Roman"/>
                <w:iCs/>
              </w:rPr>
              <w:t xml:space="preserve">% of </w:t>
            </w:r>
            <w:r w:rsidR="00BD232A" w:rsidRPr="00BC741E">
              <w:rPr>
                <w:rFonts w:ascii="Times New Roman" w:hAnsi="Times New Roman" w:cs="Times New Roman"/>
                <w:iCs/>
              </w:rPr>
              <w:t>women</w:t>
            </w:r>
            <w:r w:rsidRPr="00BC741E">
              <w:rPr>
                <w:rFonts w:ascii="Times New Roman" w:hAnsi="Times New Roman" w:cs="Times New Roman"/>
                <w:iCs/>
              </w:rPr>
              <w:t xml:space="preserve"> found positive on screening who </w:t>
            </w:r>
            <w:r w:rsidR="00BD232A" w:rsidRPr="00BC741E">
              <w:rPr>
                <w:rFonts w:ascii="Times New Roman" w:hAnsi="Times New Roman" w:cs="Times New Roman"/>
                <w:iCs/>
              </w:rPr>
              <w:t>got</w:t>
            </w:r>
            <w:r w:rsidRPr="00BC741E">
              <w:rPr>
                <w:rFonts w:ascii="Times New Roman" w:hAnsi="Times New Roman" w:cs="Times New Roman"/>
                <w:iCs/>
              </w:rPr>
              <w:t xml:space="preserve"> adequately treated. </w:t>
            </w:r>
          </w:p>
          <w:p w14:paraId="079A96CD" w14:textId="2FB8B8D3" w:rsidR="0024110D" w:rsidRPr="00BC741E" w:rsidRDefault="0024110D" w:rsidP="00BC741E">
            <w:pPr>
              <w:ind w:left="246" w:hanging="180"/>
              <w:rPr>
                <w:i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0F5C79C" w14:textId="46D62583" w:rsidR="00BD232A" w:rsidRPr="00BC741E" w:rsidRDefault="00BD232A" w:rsidP="00BC741E">
            <w:pPr>
              <w:contextualSpacing/>
              <w:rPr>
                <w:iCs/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 xml:space="preserve">ANC attendance: </w:t>
            </w:r>
            <w:r w:rsidRPr="00BC741E">
              <w:rPr>
                <w:iCs/>
                <w:sz w:val="22"/>
                <w:szCs w:val="22"/>
              </w:rPr>
              <w:t>DHS, MICS or other representative community survey.</w:t>
            </w:r>
          </w:p>
          <w:p w14:paraId="5097D977" w14:textId="681429E1" w:rsidR="00BD232A" w:rsidRPr="00BC741E" w:rsidRDefault="00BD232A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>Screening &amp; treatment: Routine program reports, or ANC sample surveys</w:t>
            </w:r>
          </w:p>
        </w:tc>
      </w:tr>
      <w:tr w:rsidR="0024110D" w:rsidRPr="00BC741E" w14:paraId="7762D8CF" w14:textId="77777777" w:rsidTr="00023295">
        <w:tc>
          <w:tcPr>
            <w:tcW w:w="2605" w:type="dxa"/>
          </w:tcPr>
          <w:p w14:paraId="04158947" w14:textId="1ED16F3C" w:rsidR="0024110D" w:rsidRPr="00BC741E" w:rsidRDefault="0024110D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>Contact tracing after index patients treated clinically for symptomatic primary/secondary s</w:t>
            </w:r>
          </w:p>
        </w:tc>
        <w:tc>
          <w:tcPr>
            <w:tcW w:w="5220" w:type="dxa"/>
          </w:tcPr>
          <w:p w14:paraId="7A858577" w14:textId="77777777" w:rsidR="008C0A41" w:rsidRPr="00BC741E" w:rsidRDefault="008C0A41" w:rsidP="00BC7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6" w:hanging="18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 xml:space="preserve">Number of contacts traced, </w:t>
            </w:r>
          </w:p>
          <w:p w14:paraId="49401227" w14:textId="094E8993" w:rsidR="0024110D" w:rsidRPr="00BC741E" w:rsidRDefault="008C0A41" w:rsidP="00BC7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6" w:hanging="180"/>
              <w:rPr>
                <w:rFonts w:ascii="Times New Roman" w:hAnsi="Times New Roman" w:cs="Times New Roman"/>
              </w:rPr>
            </w:pPr>
            <w:r w:rsidRPr="00BC741E">
              <w:rPr>
                <w:rFonts w:ascii="Times New Roman" w:hAnsi="Times New Roman" w:cs="Times New Roman"/>
              </w:rPr>
              <w:t>Yield/prevalence of syphilis cases (by stage) among contacts traced.</w:t>
            </w:r>
          </w:p>
        </w:tc>
        <w:tc>
          <w:tcPr>
            <w:tcW w:w="2610" w:type="dxa"/>
          </w:tcPr>
          <w:p w14:paraId="3A054633" w14:textId="1D202441" w:rsidR="0024110D" w:rsidRPr="00BC741E" w:rsidRDefault="008C0A41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 xml:space="preserve">Routine program </w:t>
            </w:r>
            <w:r w:rsidR="00BD232A" w:rsidRPr="00BC741E">
              <w:rPr>
                <w:sz w:val="22"/>
                <w:szCs w:val="22"/>
              </w:rPr>
              <w:t>reports</w:t>
            </w:r>
          </w:p>
        </w:tc>
      </w:tr>
      <w:tr w:rsidR="00BD232A" w:rsidRPr="00BC741E" w14:paraId="28E80CD7" w14:textId="77777777" w:rsidTr="005A3DED">
        <w:tc>
          <w:tcPr>
            <w:tcW w:w="2605" w:type="dxa"/>
          </w:tcPr>
          <w:p w14:paraId="4F0FC001" w14:textId="3FC37DD2" w:rsidR="00BD232A" w:rsidRPr="00BC741E" w:rsidRDefault="00BD232A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>Screening &amp; treatment: FSW &amp; MSM</w:t>
            </w:r>
          </w:p>
        </w:tc>
        <w:tc>
          <w:tcPr>
            <w:tcW w:w="7830" w:type="dxa"/>
            <w:gridSpan w:val="2"/>
          </w:tcPr>
          <w:p w14:paraId="53E23A6B" w14:textId="2FC9342A" w:rsidR="00BD232A" w:rsidRPr="00BC741E" w:rsidRDefault="00BD232A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 xml:space="preserve">IBBS or sentinel surveys: if these don’t report specifically on syphilis screening coverage, this may be approximated by the coverage of outreach (e.g. in last 12 months) with HIV prevention and/or HIV testing – as also articulated and used in HIV impact models like Spectrum Goals </w:t>
            </w:r>
            <w:r w:rsidR="00B1448A">
              <w:rPr>
                <w:sz w:val="22"/>
                <w:szCs w:val="22"/>
              </w:rPr>
              <w:fldChar w:fldCharType="begin"/>
            </w:r>
            <w:r w:rsidR="00B1448A">
              <w:rPr>
                <w:sz w:val="22"/>
                <w:szCs w:val="22"/>
              </w:rPr>
              <w:instrText xml:space="preserve"> ADDIN EN.CITE &lt;EndNote&gt;&lt;Cite&gt;&lt;Author&gt;Avenir Health&lt;/Author&gt;&lt;Year&gt;2011&lt;/Year&gt;&lt;RecNum&gt;4935&lt;/RecNum&gt;&lt;DisplayText&gt;[5]&lt;/DisplayText&gt;&lt;record&gt;&lt;rec-number&gt;4935&lt;/rec-number&gt;&lt;foreign-keys&gt;&lt;key app="EN" db-id="5a9pfaartferdmee5a0xxz0gw5r5dxp529ax" timestamp="0"&gt;4935&lt;/key&gt;&lt;/foreign-keys&gt;&lt;ref-type name="Report"&gt;27&lt;/ref-type&gt;&lt;contributors&gt;&lt;authors&gt;&lt;author&gt;Avenir Health,&lt;/author&gt;&lt;/authors&gt;&lt;/contributors&gt;&lt;titles&gt;&lt;title&gt;Goals manual: a model for estimating the effects of interventions and resource allocation on HIV infections and deaths&lt;/title&gt;&lt;/titles&gt;&lt;dates&gt;&lt;year&gt;2011&lt;/year&gt;&lt;pub-dates&gt;&lt;date&gt;August&lt;/date&gt;&lt;/pub-dates&gt;&lt;/dates&gt;&lt;pub-location&gt;Glastonbury, CT&lt;/pub-location&gt;&lt;urls&gt;&lt;related-urls&gt;&lt;url&gt;http://www.avenirhealth.org/Download/Spectrum/Manuals/Goals_Manual_August_2011.pdf&lt;/url&gt;&lt;/related-urls&gt;&lt;/urls&gt;&lt;/record&gt;&lt;/Cite&gt;&lt;/EndNote&gt;</w:instrText>
            </w:r>
            <w:r w:rsidR="00B1448A">
              <w:rPr>
                <w:sz w:val="22"/>
                <w:szCs w:val="22"/>
              </w:rPr>
              <w:fldChar w:fldCharType="separate"/>
            </w:r>
            <w:r w:rsidR="00B1448A">
              <w:rPr>
                <w:noProof/>
                <w:sz w:val="22"/>
                <w:szCs w:val="22"/>
              </w:rPr>
              <w:t>[</w:t>
            </w:r>
            <w:hyperlink w:anchor="_ENREF_5" w:tooltip="Avenir Health, 2011 #4935" w:history="1">
              <w:r w:rsidR="00B1448A">
                <w:rPr>
                  <w:noProof/>
                  <w:sz w:val="22"/>
                  <w:szCs w:val="22"/>
                </w:rPr>
                <w:t>5</w:t>
              </w:r>
            </w:hyperlink>
            <w:r w:rsidR="00B1448A">
              <w:rPr>
                <w:noProof/>
                <w:sz w:val="22"/>
                <w:szCs w:val="22"/>
              </w:rPr>
              <w:t>]</w:t>
            </w:r>
            <w:r w:rsidR="00B1448A">
              <w:rPr>
                <w:sz w:val="22"/>
                <w:szCs w:val="22"/>
              </w:rPr>
              <w:fldChar w:fldCharType="end"/>
            </w:r>
            <w:r w:rsidRPr="00BC741E">
              <w:rPr>
                <w:sz w:val="22"/>
                <w:szCs w:val="22"/>
              </w:rPr>
              <w:t xml:space="preserve"> or the AIDS Epidemic Model AEM. </w:t>
            </w:r>
          </w:p>
        </w:tc>
      </w:tr>
      <w:tr w:rsidR="00BD232A" w:rsidRPr="00BC741E" w14:paraId="208445CA" w14:textId="77777777" w:rsidTr="0024110D">
        <w:tc>
          <w:tcPr>
            <w:tcW w:w="2605" w:type="dxa"/>
          </w:tcPr>
          <w:p w14:paraId="2E23515F" w14:textId="5089EFCC" w:rsidR="00BD232A" w:rsidRPr="00BC741E" w:rsidRDefault="00BD232A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lastRenderedPageBreak/>
              <w:t>Screening &amp; treatment: men</w:t>
            </w:r>
          </w:p>
        </w:tc>
        <w:tc>
          <w:tcPr>
            <w:tcW w:w="5220" w:type="dxa"/>
          </w:tcPr>
          <w:p w14:paraId="1BF57FC2" w14:textId="40B18619" w:rsidR="00BD232A" w:rsidRPr="00BC741E" w:rsidRDefault="00BD232A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 xml:space="preserve">Typically little data available. </w:t>
            </w:r>
            <w:r w:rsidR="004925DE" w:rsidRPr="00BC741E">
              <w:rPr>
                <w:sz w:val="22"/>
                <w:szCs w:val="22"/>
              </w:rPr>
              <w:t>Can s</w:t>
            </w:r>
            <w:r w:rsidRPr="00BC741E">
              <w:rPr>
                <w:sz w:val="22"/>
                <w:szCs w:val="22"/>
              </w:rPr>
              <w:t>et to low or 0 if no evidence of any active screening services beyond ANC and key populations.</w:t>
            </w:r>
          </w:p>
        </w:tc>
        <w:tc>
          <w:tcPr>
            <w:tcW w:w="2610" w:type="dxa"/>
          </w:tcPr>
          <w:p w14:paraId="3432EB93" w14:textId="4D701B55" w:rsidR="00BD232A" w:rsidRPr="00BC741E" w:rsidRDefault="00BD232A" w:rsidP="00BC741E">
            <w:pPr>
              <w:contextualSpacing/>
              <w:rPr>
                <w:sz w:val="22"/>
                <w:szCs w:val="22"/>
              </w:rPr>
            </w:pPr>
            <w:r w:rsidRPr="00BC741E">
              <w:rPr>
                <w:sz w:val="22"/>
                <w:szCs w:val="22"/>
              </w:rPr>
              <w:t>If applicable: Routine program reports</w:t>
            </w:r>
          </w:p>
        </w:tc>
      </w:tr>
    </w:tbl>
    <w:p w14:paraId="45806278" w14:textId="4F2BFD17" w:rsidR="0024110D" w:rsidRPr="00BC741E" w:rsidRDefault="0024110D" w:rsidP="00BC741E">
      <w:pPr>
        <w:contextualSpacing/>
        <w:rPr>
          <w:sz w:val="22"/>
          <w:szCs w:val="22"/>
        </w:rPr>
      </w:pPr>
    </w:p>
    <w:p w14:paraId="78B1C292" w14:textId="77777777" w:rsidR="00DF78D8" w:rsidRPr="00BC741E" w:rsidRDefault="00DF78D8" w:rsidP="00BC741E">
      <w:pPr>
        <w:contextualSpacing/>
        <w:rPr>
          <w:sz w:val="22"/>
          <w:szCs w:val="22"/>
        </w:rPr>
      </w:pPr>
    </w:p>
    <w:p w14:paraId="56825D7D" w14:textId="2D0F5CCE" w:rsidR="00DF78D8" w:rsidRPr="00BC741E" w:rsidRDefault="00DE0D5A" w:rsidP="00BC741E">
      <w:pPr>
        <w:contextualSpacing/>
        <w:rPr>
          <w:b/>
          <w:bCs/>
          <w:sz w:val="22"/>
          <w:szCs w:val="22"/>
          <w:u w:val="single"/>
        </w:rPr>
      </w:pPr>
      <w:r w:rsidRPr="00BC741E">
        <w:rPr>
          <w:b/>
          <w:bCs/>
          <w:sz w:val="22"/>
          <w:szCs w:val="22"/>
          <w:u w:val="single"/>
        </w:rPr>
        <w:t>4</w:t>
      </w:r>
      <w:r w:rsidR="00DF78D8" w:rsidRPr="00BC741E">
        <w:rPr>
          <w:b/>
          <w:bCs/>
          <w:sz w:val="22"/>
          <w:szCs w:val="22"/>
          <w:u w:val="single"/>
        </w:rPr>
        <w:t>. Program service delivery unit costs</w:t>
      </w:r>
    </w:p>
    <w:p w14:paraId="62496763" w14:textId="307214AE" w:rsidR="00DF78D8" w:rsidRPr="00BC741E" w:rsidRDefault="00DF78D8" w:rsidP="00BC741E">
      <w:pPr>
        <w:contextualSpacing/>
        <w:rPr>
          <w:sz w:val="22"/>
          <w:szCs w:val="22"/>
        </w:rPr>
      </w:pPr>
      <w:r w:rsidRPr="00BC741E">
        <w:rPr>
          <w:sz w:val="22"/>
          <w:szCs w:val="22"/>
        </w:rPr>
        <w:t xml:space="preserve">For </w:t>
      </w:r>
      <w:r w:rsidR="004925DE" w:rsidRPr="00BC741E">
        <w:rPr>
          <w:sz w:val="22"/>
          <w:szCs w:val="22"/>
        </w:rPr>
        <w:t xml:space="preserve">all </w:t>
      </w:r>
      <w:r w:rsidRPr="00BC741E">
        <w:rPr>
          <w:sz w:val="22"/>
          <w:szCs w:val="22"/>
        </w:rPr>
        <w:t xml:space="preserve">interventions </w:t>
      </w:r>
      <w:r w:rsidR="005A3DED" w:rsidRPr="00BC741E">
        <w:rPr>
          <w:sz w:val="22"/>
          <w:szCs w:val="22"/>
        </w:rPr>
        <w:t xml:space="preserve">detailed in </w:t>
      </w:r>
      <w:r w:rsidRPr="00BC741E">
        <w:rPr>
          <w:sz w:val="22"/>
          <w:szCs w:val="22"/>
        </w:rPr>
        <w:t xml:space="preserve">Table </w:t>
      </w:r>
      <w:r w:rsidR="00BC741E">
        <w:rPr>
          <w:sz w:val="22"/>
          <w:szCs w:val="22"/>
        </w:rPr>
        <w:t>3, as well as for condom distribution and promotion,</w:t>
      </w:r>
      <w:r w:rsidRPr="00BC741E">
        <w:rPr>
          <w:sz w:val="22"/>
          <w:szCs w:val="22"/>
        </w:rPr>
        <w:t xml:space="preserve"> the user </w:t>
      </w:r>
      <w:r w:rsidR="004925DE" w:rsidRPr="00BC741E">
        <w:rPr>
          <w:sz w:val="22"/>
          <w:szCs w:val="22"/>
        </w:rPr>
        <w:t>can</w:t>
      </w:r>
      <w:r w:rsidRPr="00BC741E">
        <w:rPr>
          <w:sz w:val="22"/>
          <w:szCs w:val="22"/>
        </w:rPr>
        <w:t xml:space="preserve"> specify a service delivery unit cost. Unit costs are not</w:t>
      </w:r>
      <w:r w:rsidR="005A3DED" w:rsidRPr="00BC741E">
        <w:rPr>
          <w:sz w:val="22"/>
          <w:szCs w:val="22"/>
        </w:rPr>
        <w:t xml:space="preserve"> required</w:t>
      </w:r>
      <w:r w:rsidRPr="00BC741E">
        <w:rPr>
          <w:sz w:val="22"/>
          <w:szCs w:val="22"/>
        </w:rPr>
        <w:t xml:space="preserve"> for running epidemic projections</w:t>
      </w:r>
      <w:r w:rsidR="009C7BC2">
        <w:rPr>
          <w:sz w:val="22"/>
          <w:szCs w:val="22"/>
        </w:rPr>
        <w:t xml:space="preserve"> but</w:t>
      </w:r>
      <w:r w:rsidRPr="00BC741E">
        <w:rPr>
          <w:sz w:val="22"/>
          <w:szCs w:val="22"/>
        </w:rPr>
        <w:t xml:space="preserve"> are needed to calculate program cost and cost-effectiveness. For this reason, the </w:t>
      </w:r>
      <w:r w:rsidR="004925DE" w:rsidRPr="00BC741E">
        <w:rPr>
          <w:sz w:val="22"/>
          <w:szCs w:val="22"/>
        </w:rPr>
        <w:t xml:space="preserve">behavioural and intervention coverage </w:t>
      </w:r>
      <w:r w:rsidRPr="00BC741E">
        <w:rPr>
          <w:sz w:val="22"/>
          <w:szCs w:val="22"/>
        </w:rPr>
        <w:t xml:space="preserve">parameters listed in Tables </w:t>
      </w:r>
      <w:r w:rsidR="004925DE" w:rsidRPr="00BC741E">
        <w:rPr>
          <w:sz w:val="22"/>
          <w:szCs w:val="22"/>
        </w:rPr>
        <w:t xml:space="preserve">2 and </w:t>
      </w:r>
      <w:r w:rsidR="00BC741E">
        <w:rPr>
          <w:sz w:val="22"/>
          <w:szCs w:val="22"/>
        </w:rPr>
        <w:t>3</w:t>
      </w:r>
      <w:r w:rsidRPr="00BC741E">
        <w:rPr>
          <w:sz w:val="22"/>
          <w:szCs w:val="22"/>
        </w:rPr>
        <w:t xml:space="preserve"> are specified in the input file whereas the unit costs are specified in the output file.</w:t>
      </w:r>
    </w:p>
    <w:p w14:paraId="385623B7" w14:textId="04B0F7F1" w:rsidR="004925DE" w:rsidRPr="00BC741E" w:rsidRDefault="004925DE" w:rsidP="00BC741E">
      <w:pPr>
        <w:contextualSpacing/>
        <w:rPr>
          <w:sz w:val="22"/>
          <w:szCs w:val="22"/>
        </w:rPr>
      </w:pPr>
    </w:p>
    <w:p w14:paraId="14249DB6" w14:textId="77777777" w:rsidR="004925DE" w:rsidRPr="00BC741E" w:rsidRDefault="004925DE" w:rsidP="00BC741E">
      <w:pPr>
        <w:contextualSpacing/>
        <w:rPr>
          <w:sz w:val="22"/>
          <w:szCs w:val="22"/>
        </w:rPr>
      </w:pPr>
    </w:p>
    <w:p w14:paraId="5B0A7ED2" w14:textId="7F5D0E0F" w:rsidR="0024110D" w:rsidRPr="00BC741E" w:rsidRDefault="008C0A41" w:rsidP="00BC741E">
      <w:pPr>
        <w:rPr>
          <w:b/>
          <w:bCs/>
          <w:sz w:val="22"/>
          <w:szCs w:val="22"/>
          <w:u w:val="single"/>
          <w:lang w:val="en-US"/>
        </w:rPr>
      </w:pPr>
      <w:r w:rsidRPr="00BC741E">
        <w:rPr>
          <w:b/>
          <w:bCs/>
          <w:sz w:val="22"/>
          <w:szCs w:val="22"/>
          <w:u w:val="single"/>
          <w:lang w:val="en-US"/>
        </w:rPr>
        <w:t>Further information</w:t>
      </w:r>
    </w:p>
    <w:p w14:paraId="2FE25F35" w14:textId="118EE697" w:rsidR="008C0A41" w:rsidRPr="00BC741E" w:rsidRDefault="008C0A41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>This document complements:</w:t>
      </w:r>
    </w:p>
    <w:p w14:paraId="3230EDB9" w14:textId="77777777" w:rsidR="008C0A41" w:rsidRPr="00BC741E" w:rsidRDefault="008C0A41" w:rsidP="00BC741E">
      <w:pPr>
        <w:rPr>
          <w:sz w:val="22"/>
          <w:szCs w:val="22"/>
        </w:rPr>
      </w:pPr>
    </w:p>
    <w:p w14:paraId="76AA4201" w14:textId="5BC31BB1" w:rsidR="008C0A41" w:rsidRPr="00BC741E" w:rsidRDefault="008C0A41" w:rsidP="00BC741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BC741E">
        <w:rPr>
          <w:rFonts w:ascii="Times New Roman" w:hAnsi="Times New Roman" w:cs="Times New Roman"/>
          <w:lang w:val="en-GB"/>
        </w:rPr>
        <w:t xml:space="preserve">Syphilis </w:t>
      </w:r>
      <w:r w:rsidRPr="00BC741E">
        <w:rPr>
          <w:rFonts w:ascii="Times New Roman" w:hAnsi="Times New Roman" w:cs="Times New Roman"/>
        </w:rPr>
        <w:t>Interventions Toward</w:t>
      </w:r>
      <w:r w:rsidR="004925DE" w:rsidRPr="00BC741E">
        <w:rPr>
          <w:rFonts w:ascii="Times New Roman" w:hAnsi="Times New Roman" w:cs="Times New Roman"/>
        </w:rPr>
        <w:t>s</w:t>
      </w:r>
      <w:r w:rsidRPr="00BC741E">
        <w:rPr>
          <w:rFonts w:ascii="Times New Roman" w:hAnsi="Times New Roman" w:cs="Times New Roman"/>
        </w:rPr>
        <w:t xml:space="preserve"> Elimination (SITE) Model </w:t>
      </w:r>
      <w:r w:rsidRPr="00BC741E">
        <w:rPr>
          <w:rFonts w:ascii="Times New Roman" w:hAnsi="Times New Roman" w:cs="Times New Roman"/>
          <w:lang w:val="en-GB"/>
        </w:rPr>
        <w:t>– User guide to the R-code user interface</w:t>
      </w:r>
      <w:r w:rsidRPr="00BC741E">
        <w:rPr>
          <w:rFonts w:ascii="Times New Roman" w:hAnsi="Times New Roman" w:cs="Times New Roman"/>
        </w:rPr>
        <w:t>, by Korenromp-EL, Rowley-J and Mahiané-GM, June 2020.</w:t>
      </w:r>
    </w:p>
    <w:p w14:paraId="5BDBDAFE" w14:textId="090462E0" w:rsidR="008C0A41" w:rsidRPr="00BC741E" w:rsidRDefault="004925DE" w:rsidP="00BC741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The Syphilis Interventions towards Elimination (SITE) model to inform national strategies and targets for syphilis control – technical methods report</w:t>
      </w:r>
      <w:r w:rsidR="008C0A41" w:rsidRPr="00BC741E">
        <w:rPr>
          <w:rFonts w:ascii="Times New Roman" w:hAnsi="Times New Roman" w:cs="Times New Roman"/>
        </w:rPr>
        <w:t>, by Korenromp-EL, Mahiané-GM, Glaubius-R &amp; Stover-J, June 2020.</w:t>
      </w:r>
    </w:p>
    <w:p w14:paraId="70A9399B" w14:textId="424F34AB" w:rsidR="008C0A41" w:rsidRPr="00BC741E" w:rsidRDefault="008C0A41" w:rsidP="00BC741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C741E">
        <w:rPr>
          <w:rFonts w:ascii="Times New Roman" w:hAnsi="Times New Roman" w:cs="Times New Roman"/>
        </w:rPr>
        <w:t>Syphilis Interventions Toward</w:t>
      </w:r>
      <w:r w:rsidR="004925DE" w:rsidRPr="00BC741E">
        <w:rPr>
          <w:rFonts w:ascii="Times New Roman" w:hAnsi="Times New Roman" w:cs="Times New Roman"/>
        </w:rPr>
        <w:t>s</w:t>
      </w:r>
      <w:r w:rsidRPr="00BC741E">
        <w:rPr>
          <w:rFonts w:ascii="Times New Roman" w:hAnsi="Times New Roman" w:cs="Times New Roman"/>
        </w:rPr>
        <w:t xml:space="preserve"> Elimination (SITE) Model Training Exercises, by </w:t>
      </w:r>
      <w:r w:rsidR="0037301B" w:rsidRPr="00BC741E">
        <w:rPr>
          <w:rFonts w:ascii="Times New Roman" w:hAnsi="Times New Roman" w:cs="Times New Roman"/>
        </w:rPr>
        <w:t>Korenromp-EL</w:t>
      </w:r>
      <w:r w:rsidR="00B1448A">
        <w:rPr>
          <w:rFonts w:ascii="Times New Roman" w:hAnsi="Times New Roman" w:cs="Times New Roman"/>
        </w:rPr>
        <w:t xml:space="preserve"> &amp; Rowley-J</w:t>
      </w:r>
      <w:r w:rsidRPr="00BC741E">
        <w:rPr>
          <w:rFonts w:ascii="Times New Roman" w:hAnsi="Times New Roman" w:cs="Times New Roman"/>
        </w:rPr>
        <w:t>, June 2020.</w:t>
      </w:r>
    </w:p>
    <w:p w14:paraId="18A62066" w14:textId="77777777" w:rsidR="00BD232A" w:rsidRPr="00BC741E" w:rsidRDefault="00BD232A" w:rsidP="00BC741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1ED292F" w14:textId="7DD5D939" w:rsidR="008C0A41" w:rsidRPr="00BC741E" w:rsidRDefault="008C0A41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>The SITE model was developed at the request of and with funding from the World Health organization, Pan-American Health Organization and WHO Western Pacific Regional office.</w:t>
      </w:r>
    </w:p>
    <w:p w14:paraId="779BB11D" w14:textId="77777777" w:rsidR="008C0A41" w:rsidRPr="00BC741E" w:rsidRDefault="008C0A41" w:rsidP="00BC741E">
      <w:pPr>
        <w:rPr>
          <w:sz w:val="22"/>
          <w:szCs w:val="22"/>
        </w:rPr>
      </w:pPr>
    </w:p>
    <w:p w14:paraId="1AD10EEA" w14:textId="7F52AE14" w:rsidR="002014C3" w:rsidRPr="00BC741E" w:rsidRDefault="008C0A41" w:rsidP="00BC741E">
      <w:pPr>
        <w:rPr>
          <w:sz w:val="22"/>
          <w:szCs w:val="22"/>
        </w:rPr>
      </w:pPr>
      <w:r w:rsidRPr="00BC741E">
        <w:rPr>
          <w:sz w:val="22"/>
          <w:szCs w:val="22"/>
        </w:rPr>
        <w:t>F</w:t>
      </w:r>
      <w:r w:rsidR="002014C3" w:rsidRPr="00BC741E">
        <w:rPr>
          <w:sz w:val="22"/>
          <w:szCs w:val="22"/>
        </w:rPr>
        <w:t>or further information, please contact Dr. Eline Korenromp, Avenir Health (</w:t>
      </w:r>
      <w:hyperlink r:id="rId11" w:history="1">
        <w:r w:rsidR="002014C3" w:rsidRPr="00BC741E">
          <w:rPr>
            <w:rStyle w:val="Hyperlink"/>
            <w:sz w:val="22"/>
            <w:szCs w:val="22"/>
          </w:rPr>
          <w:t>ekorenromp@avenirhealth.org</w:t>
        </w:r>
      </w:hyperlink>
      <w:r w:rsidR="002014C3" w:rsidRPr="00BC741E">
        <w:rPr>
          <w:rStyle w:val="Hyperlink"/>
          <w:sz w:val="22"/>
          <w:szCs w:val="22"/>
        </w:rPr>
        <w:t>)</w:t>
      </w:r>
      <w:r w:rsidR="002014C3" w:rsidRPr="00BC741E">
        <w:rPr>
          <w:sz w:val="22"/>
          <w:szCs w:val="22"/>
        </w:rPr>
        <w:t>.</w:t>
      </w:r>
    </w:p>
    <w:p w14:paraId="06D60BC1" w14:textId="53ABC7FF" w:rsidR="000A647B" w:rsidRPr="00BC741E" w:rsidRDefault="000A647B" w:rsidP="00BC741E">
      <w:pPr>
        <w:rPr>
          <w:sz w:val="22"/>
          <w:szCs w:val="22"/>
        </w:rPr>
      </w:pPr>
    </w:p>
    <w:p w14:paraId="00246E70" w14:textId="77777777" w:rsidR="00A21E18" w:rsidRPr="00BC741E" w:rsidRDefault="00A21E18" w:rsidP="00BC741E">
      <w:pPr>
        <w:rPr>
          <w:sz w:val="22"/>
          <w:szCs w:val="22"/>
        </w:rPr>
      </w:pPr>
    </w:p>
    <w:p w14:paraId="2F9513C8" w14:textId="77777777" w:rsidR="00B1448A" w:rsidRDefault="008C0A41" w:rsidP="00BC741E">
      <w:pPr>
        <w:rPr>
          <w:b/>
          <w:bCs/>
          <w:sz w:val="22"/>
          <w:szCs w:val="22"/>
          <w:u w:val="single"/>
        </w:rPr>
      </w:pPr>
      <w:r w:rsidRPr="00BC741E">
        <w:rPr>
          <w:b/>
          <w:bCs/>
          <w:sz w:val="22"/>
          <w:szCs w:val="22"/>
          <w:u w:val="single"/>
        </w:rPr>
        <w:t>References</w:t>
      </w:r>
    </w:p>
    <w:p w14:paraId="6CE18F53" w14:textId="77777777" w:rsidR="00B1448A" w:rsidRDefault="00B1448A" w:rsidP="00BC741E">
      <w:pPr>
        <w:rPr>
          <w:b/>
          <w:bCs/>
          <w:sz w:val="22"/>
          <w:szCs w:val="22"/>
          <w:u w:val="single"/>
        </w:rPr>
      </w:pPr>
    </w:p>
    <w:p w14:paraId="60171A4A" w14:textId="77777777" w:rsidR="00B1448A" w:rsidRPr="00B1448A" w:rsidRDefault="00B1448A" w:rsidP="00B1448A">
      <w:pPr>
        <w:pStyle w:val="EndNoteBibliography"/>
        <w:ind w:left="720" w:hanging="720"/>
      </w:pPr>
      <w:r>
        <w:rPr>
          <w:b/>
          <w:bCs/>
          <w:szCs w:val="22"/>
          <w:u w:val="single"/>
        </w:rPr>
        <w:fldChar w:fldCharType="begin"/>
      </w:r>
      <w:r>
        <w:rPr>
          <w:b/>
          <w:bCs/>
          <w:szCs w:val="22"/>
          <w:u w:val="single"/>
        </w:rPr>
        <w:instrText xml:space="preserve"> ADDIN EN.REFLIST </w:instrText>
      </w:r>
      <w:r>
        <w:rPr>
          <w:b/>
          <w:bCs/>
          <w:szCs w:val="22"/>
          <w:u w:val="single"/>
        </w:rPr>
        <w:fldChar w:fldCharType="separate"/>
      </w:r>
      <w:bookmarkStart w:id="0" w:name="_ENREF_1"/>
      <w:r w:rsidRPr="00B1448A">
        <w:t>1.</w:t>
      </w:r>
      <w:r w:rsidRPr="00B1448A">
        <w:tab/>
        <w:t xml:space="preserve">Korenromp EL, Mahiané G, Glaubius R, Stover J: </w:t>
      </w:r>
      <w:r w:rsidRPr="00B1448A">
        <w:rPr>
          <w:b/>
        </w:rPr>
        <w:t>The Syphilis Interventions towards Elimination (SITE) model to inform national strategies and targets for syphilis control – technical methods report</w:t>
      </w:r>
      <w:r w:rsidRPr="00B1448A">
        <w:t>. In</w:t>
      </w:r>
      <w:r w:rsidRPr="00B1448A">
        <w:rPr>
          <w:i/>
        </w:rPr>
        <w:t>.</w:t>
      </w:r>
      <w:r w:rsidRPr="00B1448A">
        <w:t xml:space="preserve"> Geneva / Glastonbury; 2020.</w:t>
      </w:r>
      <w:bookmarkEnd w:id="0"/>
    </w:p>
    <w:p w14:paraId="1E61EFED" w14:textId="77777777" w:rsidR="00B1448A" w:rsidRPr="00B1448A" w:rsidRDefault="00B1448A" w:rsidP="00B1448A">
      <w:pPr>
        <w:pStyle w:val="EndNoteBibliography"/>
        <w:ind w:left="720" w:hanging="720"/>
      </w:pPr>
      <w:bookmarkStart w:id="1" w:name="_ENREF_2"/>
      <w:r w:rsidRPr="00B1448A">
        <w:t>2.</w:t>
      </w:r>
      <w:r w:rsidRPr="00B1448A">
        <w:tab/>
        <w:t xml:space="preserve">Newman L, Rowley J, VanderHoorn S, Wijesooriya NS, Unemo M, Stevens G, Kiarie J, Temmerman M: </w:t>
      </w:r>
      <w:r w:rsidRPr="00B1448A">
        <w:rPr>
          <w:b/>
        </w:rPr>
        <w:t>Global estimates of the prevalence and incidence of four curable sexually transmitted infections in 2012 based on systematic review and global reporting</w:t>
      </w:r>
      <w:r w:rsidRPr="00B1448A">
        <w:t xml:space="preserve">. </w:t>
      </w:r>
      <w:r w:rsidRPr="00B1448A">
        <w:rPr>
          <w:i/>
        </w:rPr>
        <w:t xml:space="preserve">PLoS One </w:t>
      </w:r>
      <w:r w:rsidRPr="00B1448A">
        <w:t xml:space="preserve">2015, </w:t>
      </w:r>
      <w:r w:rsidRPr="00B1448A">
        <w:rPr>
          <w:b/>
        </w:rPr>
        <w:t>10</w:t>
      </w:r>
      <w:r w:rsidRPr="00B1448A">
        <w:t>(12):e0143304.</w:t>
      </w:r>
      <w:bookmarkEnd w:id="1"/>
    </w:p>
    <w:p w14:paraId="5A22375C" w14:textId="59247296" w:rsidR="00B1448A" w:rsidRPr="00B1448A" w:rsidRDefault="00B1448A" w:rsidP="00B1448A">
      <w:pPr>
        <w:pStyle w:val="EndNoteBibliography"/>
        <w:ind w:left="720" w:hanging="720"/>
      </w:pPr>
      <w:bookmarkStart w:id="2" w:name="_ENREF_3"/>
      <w:r w:rsidRPr="00B1448A">
        <w:t>3.</w:t>
      </w:r>
      <w:r w:rsidRPr="00B1448A">
        <w:tab/>
      </w:r>
      <w:r w:rsidRPr="00B1448A">
        <w:rPr>
          <w:b/>
        </w:rPr>
        <w:t xml:space="preserve">Spectrum-STI model estimating national STI rates: country surveillance data inputs / Guide to Country data needed to inform a national STI estimation </w:t>
      </w:r>
      <w:r w:rsidRPr="00B1448A">
        <w:t>[</w:t>
      </w:r>
      <w:hyperlink r:id="rId12" w:history="1">
        <w:r w:rsidRPr="00B1448A">
          <w:rPr>
            <w:rStyle w:val="Hyperlink"/>
          </w:rPr>
          <w:t>https://spectrummodel.zendesk.com/hc/en-us/articles/115008306167-Application-of-the-Spectrum-STI-estimation-model-estimating-STI-prevalence-and-time-trends-Collating-Country-Data-</w:t>
        </w:r>
      </w:hyperlink>
      <w:r w:rsidRPr="00B1448A">
        <w:t>]</w:t>
      </w:r>
      <w:bookmarkEnd w:id="2"/>
    </w:p>
    <w:p w14:paraId="7A260E39" w14:textId="1A2FD71E" w:rsidR="00B1448A" w:rsidRPr="00B1448A" w:rsidRDefault="00B1448A" w:rsidP="00B1448A">
      <w:pPr>
        <w:pStyle w:val="EndNoteBibliography"/>
        <w:ind w:left="720" w:hanging="720"/>
      </w:pPr>
      <w:bookmarkStart w:id="3" w:name="_ENREF_4"/>
      <w:r w:rsidRPr="00B1448A">
        <w:t>4.</w:t>
      </w:r>
      <w:r w:rsidRPr="00B1448A">
        <w:tab/>
      </w:r>
      <w:r w:rsidRPr="00B1448A">
        <w:rPr>
          <w:b/>
        </w:rPr>
        <w:t xml:space="preserve">Spectrum STI module -- Manual </w:t>
      </w:r>
      <w:r w:rsidRPr="00B1448A">
        <w:t>[</w:t>
      </w:r>
      <w:hyperlink r:id="rId13" w:history="1">
        <w:r w:rsidRPr="00B1448A">
          <w:rPr>
            <w:rStyle w:val="Hyperlink"/>
          </w:rPr>
          <w:t>https://spectrummodel.zendesk.com/hc/en-us/articles/115001964191-Spectrum-STI-Module-Overview-Manual</w:t>
        </w:r>
      </w:hyperlink>
      <w:r w:rsidRPr="00B1448A">
        <w:t>]</w:t>
      </w:r>
      <w:bookmarkEnd w:id="3"/>
    </w:p>
    <w:p w14:paraId="231E799E" w14:textId="77777777" w:rsidR="00B1448A" w:rsidRPr="00B1448A" w:rsidRDefault="00B1448A" w:rsidP="00B1448A">
      <w:pPr>
        <w:pStyle w:val="EndNoteBibliography"/>
        <w:ind w:left="720" w:hanging="720"/>
      </w:pPr>
      <w:bookmarkStart w:id="4" w:name="_ENREF_5"/>
      <w:r w:rsidRPr="00B1448A">
        <w:t>5.</w:t>
      </w:r>
      <w:r w:rsidRPr="00B1448A">
        <w:tab/>
        <w:t xml:space="preserve">Avenir Health: </w:t>
      </w:r>
      <w:r w:rsidRPr="00B1448A">
        <w:rPr>
          <w:b/>
        </w:rPr>
        <w:t>Goals manual: a model for estimating the effects of interventions and resource allocation on HIV infections and deaths</w:t>
      </w:r>
      <w:r w:rsidRPr="00B1448A">
        <w:t>. In</w:t>
      </w:r>
      <w:r w:rsidRPr="00B1448A">
        <w:rPr>
          <w:i/>
        </w:rPr>
        <w:t>.</w:t>
      </w:r>
      <w:r w:rsidRPr="00B1448A">
        <w:t xml:space="preserve"> Glastonbury, CT; 2011.</w:t>
      </w:r>
      <w:bookmarkEnd w:id="4"/>
    </w:p>
    <w:p w14:paraId="0053496B" w14:textId="77777777" w:rsidR="00B1448A" w:rsidRPr="00B1448A" w:rsidRDefault="00B1448A" w:rsidP="00B1448A">
      <w:pPr>
        <w:pStyle w:val="EndNoteBibliography"/>
        <w:ind w:left="720" w:hanging="720"/>
      </w:pPr>
      <w:bookmarkStart w:id="5" w:name="_ENREF_6"/>
      <w:r w:rsidRPr="00B1448A">
        <w:t>6.</w:t>
      </w:r>
      <w:r w:rsidRPr="00B1448A">
        <w:tab/>
        <w:t xml:space="preserve">Brown T, Peerapatanapokin W: </w:t>
      </w:r>
      <w:r w:rsidRPr="00B1448A">
        <w:rPr>
          <w:b/>
        </w:rPr>
        <w:t>The Asian Epidemic Model: a process model for exploring HIV policy and programme alternatives in Asia</w:t>
      </w:r>
      <w:r w:rsidRPr="00B1448A">
        <w:t xml:space="preserve">. </w:t>
      </w:r>
      <w:r w:rsidRPr="00B1448A">
        <w:rPr>
          <w:i/>
        </w:rPr>
        <w:t xml:space="preserve">Sex Transm Infect </w:t>
      </w:r>
      <w:r w:rsidRPr="00B1448A">
        <w:t xml:space="preserve">2004, </w:t>
      </w:r>
      <w:r w:rsidRPr="00B1448A">
        <w:rPr>
          <w:b/>
        </w:rPr>
        <w:t>80 Suppl 1</w:t>
      </w:r>
      <w:r w:rsidRPr="00B1448A">
        <w:t>:i19-24.</w:t>
      </w:r>
      <w:bookmarkEnd w:id="5"/>
    </w:p>
    <w:p w14:paraId="6AF00535" w14:textId="77777777" w:rsidR="00B1448A" w:rsidRPr="00B1448A" w:rsidRDefault="00B1448A" w:rsidP="00B1448A">
      <w:pPr>
        <w:pStyle w:val="EndNoteBibliography"/>
        <w:ind w:left="720" w:hanging="720"/>
      </w:pPr>
      <w:bookmarkStart w:id="6" w:name="_ENREF_7"/>
      <w:r w:rsidRPr="00B1448A">
        <w:t>7.</w:t>
      </w:r>
      <w:r w:rsidRPr="00B1448A">
        <w:tab/>
        <w:t xml:space="preserve">UNAIDS: </w:t>
      </w:r>
      <w:r w:rsidRPr="00B1448A">
        <w:rPr>
          <w:b/>
        </w:rPr>
        <w:t>Quick Start Guide for Spectrum 2018</w:t>
      </w:r>
      <w:r w:rsidRPr="00B1448A">
        <w:t>. In</w:t>
      </w:r>
      <w:r w:rsidRPr="00B1448A">
        <w:rPr>
          <w:i/>
        </w:rPr>
        <w:t>.</w:t>
      </w:r>
      <w:r w:rsidRPr="00B1448A">
        <w:t xml:space="preserve"> Geneva; 2018.</w:t>
      </w:r>
      <w:bookmarkEnd w:id="6"/>
    </w:p>
    <w:p w14:paraId="6D883724" w14:textId="77777777" w:rsidR="00B1448A" w:rsidRPr="00B1448A" w:rsidRDefault="00B1448A" w:rsidP="00B1448A">
      <w:pPr>
        <w:pStyle w:val="EndNoteBibliography"/>
        <w:ind w:left="720" w:hanging="720"/>
      </w:pPr>
      <w:bookmarkStart w:id="7" w:name="_ENREF_8"/>
      <w:r w:rsidRPr="00B1448A">
        <w:lastRenderedPageBreak/>
        <w:t>8.</w:t>
      </w:r>
      <w:r w:rsidRPr="00B1448A">
        <w:tab/>
        <w:t xml:space="preserve">United Nations Population Division: </w:t>
      </w:r>
      <w:r w:rsidRPr="00B1448A">
        <w:rPr>
          <w:b/>
        </w:rPr>
        <w:t>World Population Prospects 2019</w:t>
      </w:r>
      <w:r w:rsidRPr="00B1448A">
        <w:t>. In</w:t>
      </w:r>
      <w:r w:rsidRPr="00B1448A">
        <w:rPr>
          <w:i/>
        </w:rPr>
        <w:t>.</w:t>
      </w:r>
      <w:r w:rsidRPr="00B1448A">
        <w:t>; 2019.</w:t>
      </w:r>
      <w:bookmarkEnd w:id="7"/>
    </w:p>
    <w:p w14:paraId="4F2C88BC" w14:textId="77777777" w:rsidR="00B1448A" w:rsidRPr="00B1448A" w:rsidRDefault="00B1448A" w:rsidP="00B1448A">
      <w:pPr>
        <w:pStyle w:val="EndNoteBibliography"/>
        <w:ind w:left="720" w:hanging="720"/>
      </w:pPr>
      <w:bookmarkStart w:id="8" w:name="_ENREF_9"/>
      <w:r w:rsidRPr="00B1448A">
        <w:t>9.</w:t>
      </w:r>
      <w:r w:rsidRPr="00B1448A">
        <w:tab/>
        <w:t xml:space="preserve">Fazito E, Cuchi P, Mahy M, Brown T: </w:t>
      </w:r>
      <w:r w:rsidRPr="00B1448A">
        <w:rPr>
          <w:b/>
        </w:rPr>
        <w:t>Analysis of duration of risk behaviour for key populations: a literature review</w:t>
      </w:r>
      <w:r w:rsidRPr="00B1448A">
        <w:t xml:space="preserve">. </w:t>
      </w:r>
      <w:r w:rsidRPr="00B1448A">
        <w:rPr>
          <w:i/>
        </w:rPr>
        <w:t xml:space="preserve">Sex Transm Infect </w:t>
      </w:r>
      <w:r w:rsidRPr="00B1448A">
        <w:t xml:space="preserve">2012, </w:t>
      </w:r>
      <w:r w:rsidRPr="00B1448A">
        <w:rPr>
          <w:b/>
        </w:rPr>
        <w:t>88 Suppl 2</w:t>
      </w:r>
      <w:r w:rsidRPr="00B1448A">
        <w:t>:i24-32.</w:t>
      </w:r>
      <w:bookmarkEnd w:id="8"/>
    </w:p>
    <w:p w14:paraId="2630DF66" w14:textId="4601D3F0" w:rsidR="00BD232A" w:rsidRPr="00BC741E" w:rsidRDefault="00B1448A" w:rsidP="00BC741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fldChar w:fldCharType="end"/>
      </w:r>
    </w:p>
    <w:sectPr w:rsidR="00BD232A" w:rsidRPr="00BC741E" w:rsidSect="00FA7E91">
      <w:footerReference w:type="default" r:id="rId14"/>
      <w:footerReference w:type="first" r:id="rId15"/>
      <w:pgSz w:w="12240" w:h="15840" w:code="1"/>
      <w:pgMar w:top="567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2C791" w14:textId="77777777" w:rsidR="004E3E8C" w:rsidRDefault="004E3E8C" w:rsidP="00FA7E91">
      <w:r>
        <w:separator/>
      </w:r>
    </w:p>
  </w:endnote>
  <w:endnote w:type="continuationSeparator" w:id="0">
    <w:p w14:paraId="3A0C7A5F" w14:textId="77777777" w:rsidR="004E3E8C" w:rsidRDefault="004E3E8C" w:rsidP="00FA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6554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E7603" w14:textId="14E33989" w:rsidR="005A3DED" w:rsidRDefault="005A3D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BAA9F" w14:textId="77777777" w:rsidR="005A3DED" w:rsidRDefault="005A3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884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B5652" w14:textId="16F81D76" w:rsidR="005A3DED" w:rsidRDefault="005A3D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2F845" w14:textId="77777777" w:rsidR="005A3DED" w:rsidRDefault="005A3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695DB" w14:textId="77777777" w:rsidR="004E3E8C" w:rsidRDefault="004E3E8C" w:rsidP="00FA7E91">
      <w:r>
        <w:separator/>
      </w:r>
    </w:p>
  </w:footnote>
  <w:footnote w:type="continuationSeparator" w:id="0">
    <w:p w14:paraId="2BA47805" w14:textId="77777777" w:rsidR="004E3E8C" w:rsidRDefault="004E3E8C" w:rsidP="00FA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C45"/>
    <w:multiLevelType w:val="hybridMultilevel"/>
    <w:tmpl w:val="B554EB28"/>
    <w:lvl w:ilvl="0" w:tplc="6D3405B0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F42D6"/>
    <w:multiLevelType w:val="hybridMultilevel"/>
    <w:tmpl w:val="BCBE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470F"/>
    <w:multiLevelType w:val="hybridMultilevel"/>
    <w:tmpl w:val="A7B2C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7442C2"/>
    <w:multiLevelType w:val="hybridMultilevel"/>
    <w:tmpl w:val="A32E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609A"/>
    <w:multiLevelType w:val="hybridMultilevel"/>
    <w:tmpl w:val="94D41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4E7847"/>
    <w:multiLevelType w:val="hybridMultilevel"/>
    <w:tmpl w:val="3D58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E51E2"/>
    <w:multiLevelType w:val="hybridMultilevel"/>
    <w:tmpl w:val="BCFCA8B6"/>
    <w:lvl w:ilvl="0" w:tplc="2808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0872"/>
    <w:multiLevelType w:val="hybridMultilevel"/>
    <w:tmpl w:val="67BC1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5F072F"/>
    <w:multiLevelType w:val="hybridMultilevel"/>
    <w:tmpl w:val="8030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01053"/>
    <w:multiLevelType w:val="hybridMultilevel"/>
    <w:tmpl w:val="C2D4D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24F72"/>
    <w:multiLevelType w:val="hybridMultilevel"/>
    <w:tmpl w:val="117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D2D88"/>
    <w:multiLevelType w:val="hybridMultilevel"/>
    <w:tmpl w:val="FB3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Public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a9pfaartferdmee5a0xxz0gw5r5dxp529ax&quot;&gt;Library HTM Laith_Sept2016&lt;record-ids&gt;&lt;item&gt;4935&lt;/item&gt;&lt;item&gt;5067&lt;/item&gt;&lt;item&gt;5722&lt;/item&gt;&lt;item&gt;5759&lt;/item&gt;&lt;item&gt;6064&lt;/item&gt;&lt;item&gt;6209&lt;/item&gt;&lt;item&gt;6671&lt;/item&gt;&lt;item&gt;6680&lt;/item&gt;&lt;item&gt;6681&lt;/item&gt;&lt;/record-ids&gt;&lt;/item&gt;&lt;/Libraries&gt;"/>
  </w:docVars>
  <w:rsids>
    <w:rsidRoot w:val="00A02BA3"/>
    <w:rsid w:val="000179DC"/>
    <w:rsid w:val="00021802"/>
    <w:rsid w:val="00023295"/>
    <w:rsid w:val="000248B4"/>
    <w:rsid w:val="00031E19"/>
    <w:rsid w:val="0003436B"/>
    <w:rsid w:val="00037926"/>
    <w:rsid w:val="00043DDE"/>
    <w:rsid w:val="00044A2C"/>
    <w:rsid w:val="00045479"/>
    <w:rsid w:val="000463DD"/>
    <w:rsid w:val="000507D9"/>
    <w:rsid w:val="00056F5D"/>
    <w:rsid w:val="000603FC"/>
    <w:rsid w:val="0007087C"/>
    <w:rsid w:val="00074ABD"/>
    <w:rsid w:val="000800D8"/>
    <w:rsid w:val="000801AF"/>
    <w:rsid w:val="000A0B6B"/>
    <w:rsid w:val="000A2072"/>
    <w:rsid w:val="000A647B"/>
    <w:rsid w:val="000C320B"/>
    <w:rsid w:val="000C5DAF"/>
    <w:rsid w:val="000E6ACC"/>
    <w:rsid w:val="00107EAB"/>
    <w:rsid w:val="00114F08"/>
    <w:rsid w:val="00123E6B"/>
    <w:rsid w:val="00134DFE"/>
    <w:rsid w:val="0014462E"/>
    <w:rsid w:val="00145283"/>
    <w:rsid w:val="001463E1"/>
    <w:rsid w:val="001B4D79"/>
    <w:rsid w:val="001C03C6"/>
    <w:rsid w:val="001E21C0"/>
    <w:rsid w:val="001E5B2A"/>
    <w:rsid w:val="001F37CD"/>
    <w:rsid w:val="001F3F89"/>
    <w:rsid w:val="002014C3"/>
    <w:rsid w:val="0020723C"/>
    <w:rsid w:val="002149B1"/>
    <w:rsid w:val="00215360"/>
    <w:rsid w:val="00215BC5"/>
    <w:rsid w:val="002200EF"/>
    <w:rsid w:val="00220198"/>
    <w:rsid w:val="00233D80"/>
    <w:rsid w:val="0024110D"/>
    <w:rsid w:val="00252BC0"/>
    <w:rsid w:val="00253E75"/>
    <w:rsid w:val="00257F83"/>
    <w:rsid w:val="00282AB3"/>
    <w:rsid w:val="00290C92"/>
    <w:rsid w:val="002B1E87"/>
    <w:rsid w:val="002B36DA"/>
    <w:rsid w:val="002B5D5E"/>
    <w:rsid w:val="002B6C87"/>
    <w:rsid w:val="002D4200"/>
    <w:rsid w:val="002F25F5"/>
    <w:rsid w:val="00311316"/>
    <w:rsid w:val="00312717"/>
    <w:rsid w:val="00315553"/>
    <w:rsid w:val="003179BA"/>
    <w:rsid w:val="003200B7"/>
    <w:rsid w:val="00324752"/>
    <w:rsid w:val="00336829"/>
    <w:rsid w:val="00343CCA"/>
    <w:rsid w:val="003524ED"/>
    <w:rsid w:val="003615E5"/>
    <w:rsid w:val="00364AF1"/>
    <w:rsid w:val="00366348"/>
    <w:rsid w:val="00372CA8"/>
    <w:rsid w:val="0037301B"/>
    <w:rsid w:val="003808F3"/>
    <w:rsid w:val="003A50A5"/>
    <w:rsid w:val="003B43FD"/>
    <w:rsid w:val="003C0ED0"/>
    <w:rsid w:val="003C66B0"/>
    <w:rsid w:val="003D007D"/>
    <w:rsid w:val="003D0FB2"/>
    <w:rsid w:val="003D5ED8"/>
    <w:rsid w:val="00417F49"/>
    <w:rsid w:val="0042284C"/>
    <w:rsid w:val="00427128"/>
    <w:rsid w:val="00427A16"/>
    <w:rsid w:val="0043004E"/>
    <w:rsid w:val="00431F29"/>
    <w:rsid w:val="004549ED"/>
    <w:rsid w:val="00461443"/>
    <w:rsid w:val="00484899"/>
    <w:rsid w:val="004925DE"/>
    <w:rsid w:val="00495BF0"/>
    <w:rsid w:val="004B392A"/>
    <w:rsid w:val="004B5C86"/>
    <w:rsid w:val="004B7BCA"/>
    <w:rsid w:val="004C3973"/>
    <w:rsid w:val="004C66B6"/>
    <w:rsid w:val="004D1FD9"/>
    <w:rsid w:val="004D718E"/>
    <w:rsid w:val="004E3E8C"/>
    <w:rsid w:val="004E5A32"/>
    <w:rsid w:val="004F53D3"/>
    <w:rsid w:val="005006C5"/>
    <w:rsid w:val="00512E68"/>
    <w:rsid w:val="00516857"/>
    <w:rsid w:val="00517E27"/>
    <w:rsid w:val="00521CD6"/>
    <w:rsid w:val="00524721"/>
    <w:rsid w:val="0052619F"/>
    <w:rsid w:val="0052756C"/>
    <w:rsid w:val="00531DA8"/>
    <w:rsid w:val="00532BFD"/>
    <w:rsid w:val="00540525"/>
    <w:rsid w:val="005440FC"/>
    <w:rsid w:val="00546B9A"/>
    <w:rsid w:val="00562B35"/>
    <w:rsid w:val="00571AC4"/>
    <w:rsid w:val="005723DD"/>
    <w:rsid w:val="00581FEB"/>
    <w:rsid w:val="00586929"/>
    <w:rsid w:val="005908BE"/>
    <w:rsid w:val="005A3AB8"/>
    <w:rsid w:val="005A3DED"/>
    <w:rsid w:val="005B5E00"/>
    <w:rsid w:val="005C5004"/>
    <w:rsid w:val="005D10DC"/>
    <w:rsid w:val="005E2828"/>
    <w:rsid w:val="005E6031"/>
    <w:rsid w:val="005F4DA9"/>
    <w:rsid w:val="00615432"/>
    <w:rsid w:val="00624EB7"/>
    <w:rsid w:val="006349FC"/>
    <w:rsid w:val="00635533"/>
    <w:rsid w:val="006438AB"/>
    <w:rsid w:val="00662B51"/>
    <w:rsid w:val="0066535F"/>
    <w:rsid w:val="00667940"/>
    <w:rsid w:val="006A6E2D"/>
    <w:rsid w:val="006A7A92"/>
    <w:rsid w:val="006E21E6"/>
    <w:rsid w:val="006F194D"/>
    <w:rsid w:val="006F1A56"/>
    <w:rsid w:val="00711D3A"/>
    <w:rsid w:val="00714203"/>
    <w:rsid w:val="007313E7"/>
    <w:rsid w:val="007370A4"/>
    <w:rsid w:val="00771155"/>
    <w:rsid w:val="00792002"/>
    <w:rsid w:val="0079238B"/>
    <w:rsid w:val="007950CF"/>
    <w:rsid w:val="007A05E7"/>
    <w:rsid w:val="007A5DAA"/>
    <w:rsid w:val="007C2313"/>
    <w:rsid w:val="007C49AF"/>
    <w:rsid w:val="007C49CA"/>
    <w:rsid w:val="007D58DD"/>
    <w:rsid w:val="00803701"/>
    <w:rsid w:val="008062A4"/>
    <w:rsid w:val="008172C6"/>
    <w:rsid w:val="00820765"/>
    <w:rsid w:val="00820A47"/>
    <w:rsid w:val="0082107F"/>
    <w:rsid w:val="00830526"/>
    <w:rsid w:val="00844AFF"/>
    <w:rsid w:val="008505AD"/>
    <w:rsid w:val="00851D08"/>
    <w:rsid w:val="0085485A"/>
    <w:rsid w:val="008A0D92"/>
    <w:rsid w:val="008A3BEB"/>
    <w:rsid w:val="008B7C57"/>
    <w:rsid w:val="008C0A41"/>
    <w:rsid w:val="008D0492"/>
    <w:rsid w:val="008D2F69"/>
    <w:rsid w:val="008E318E"/>
    <w:rsid w:val="008E752C"/>
    <w:rsid w:val="0090741D"/>
    <w:rsid w:val="009115F9"/>
    <w:rsid w:val="00925E27"/>
    <w:rsid w:val="00934D4F"/>
    <w:rsid w:val="00950E84"/>
    <w:rsid w:val="009570B2"/>
    <w:rsid w:val="00957C56"/>
    <w:rsid w:val="009624DD"/>
    <w:rsid w:val="00970FC6"/>
    <w:rsid w:val="00980784"/>
    <w:rsid w:val="00991E3B"/>
    <w:rsid w:val="00996882"/>
    <w:rsid w:val="00996C2F"/>
    <w:rsid w:val="009A1B9E"/>
    <w:rsid w:val="009A73C0"/>
    <w:rsid w:val="009B47C8"/>
    <w:rsid w:val="009B6359"/>
    <w:rsid w:val="009B7575"/>
    <w:rsid w:val="009C208C"/>
    <w:rsid w:val="009C3797"/>
    <w:rsid w:val="009C7BC2"/>
    <w:rsid w:val="009D7D42"/>
    <w:rsid w:val="009E0D93"/>
    <w:rsid w:val="009E13DE"/>
    <w:rsid w:val="009F0842"/>
    <w:rsid w:val="009F1AD6"/>
    <w:rsid w:val="00A02BA3"/>
    <w:rsid w:val="00A038B9"/>
    <w:rsid w:val="00A15071"/>
    <w:rsid w:val="00A21E18"/>
    <w:rsid w:val="00A24D18"/>
    <w:rsid w:val="00A2672C"/>
    <w:rsid w:val="00A31674"/>
    <w:rsid w:val="00A454D7"/>
    <w:rsid w:val="00A55224"/>
    <w:rsid w:val="00A5530A"/>
    <w:rsid w:val="00A60AC3"/>
    <w:rsid w:val="00A660A2"/>
    <w:rsid w:val="00A726E4"/>
    <w:rsid w:val="00A80E7E"/>
    <w:rsid w:val="00AA3B88"/>
    <w:rsid w:val="00AA72EB"/>
    <w:rsid w:val="00AB3D1E"/>
    <w:rsid w:val="00AB4849"/>
    <w:rsid w:val="00AC1097"/>
    <w:rsid w:val="00AC1B99"/>
    <w:rsid w:val="00AD2BD7"/>
    <w:rsid w:val="00AE6D20"/>
    <w:rsid w:val="00B02FD4"/>
    <w:rsid w:val="00B1448A"/>
    <w:rsid w:val="00B301BD"/>
    <w:rsid w:val="00B31FEF"/>
    <w:rsid w:val="00B34965"/>
    <w:rsid w:val="00B55045"/>
    <w:rsid w:val="00B57E79"/>
    <w:rsid w:val="00B62E08"/>
    <w:rsid w:val="00B72418"/>
    <w:rsid w:val="00B80C40"/>
    <w:rsid w:val="00B86D46"/>
    <w:rsid w:val="00B9746B"/>
    <w:rsid w:val="00BA28EF"/>
    <w:rsid w:val="00BA434F"/>
    <w:rsid w:val="00BA6007"/>
    <w:rsid w:val="00BB4BE0"/>
    <w:rsid w:val="00BC741E"/>
    <w:rsid w:val="00BC7CBA"/>
    <w:rsid w:val="00BD232A"/>
    <w:rsid w:val="00BD3367"/>
    <w:rsid w:val="00BD4CC0"/>
    <w:rsid w:val="00BF074B"/>
    <w:rsid w:val="00BF08F7"/>
    <w:rsid w:val="00BF0C1E"/>
    <w:rsid w:val="00C01D6D"/>
    <w:rsid w:val="00C078AD"/>
    <w:rsid w:val="00C2641E"/>
    <w:rsid w:val="00C3287A"/>
    <w:rsid w:val="00C3364F"/>
    <w:rsid w:val="00C43AF7"/>
    <w:rsid w:val="00C44292"/>
    <w:rsid w:val="00C52554"/>
    <w:rsid w:val="00C62D85"/>
    <w:rsid w:val="00C74004"/>
    <w:rsid w:val="00C91F6F"/>
    <w:rsid w:val="00C967CE"/>
    <w:rsid w:val="00CA17EE"/>
    <w:rsid w:val="00CB24C5"/>
    <w:rsid w:val="00CC62B6"/>
    <w:rsid w:val="00CC65D5"/>
    <w:rsid w:val="00CD57AB"/>
    <w:rsid w:val="00CD6B73"/>
    <w:rsid w:val="00CE13F5"/>
    <w:rsid w:val="00CF1600"/>
    <w:rsid w:val="00D057D8"/>
    <w:rsid w:val="00D05A01"/>
    <w:rsid w:val="00D073D7"/>
    <w:rsid w:val="00D113EB"/>
    <w:rsid w:val="00D22E0F"/>
    <w:rsid w:val="00D26447"/>
    <w:rsid w:val="00D31675"/>
    <w:rsid w:val="00D332C7"/>
    <w:rsid w:val="00D3671E"/>
    <w:rsid w:val="00D4391D"/>
    <w:rsid w:val="00D508B5"/>
    <w:rsid w:val="00D63B9C"/>
    <w:rsid w:val="00D7502D"/>
    <w:rsid w:val="00D82F10"/>
    <w:rsid w:val="00D9281E"/>
    <w:rsid w:val="00D9330D"/>
    <w:rsid w:val="00DA0988"/>
    <w:rsid w:val="00DA39B0"/>
    <w:rsid w:val="00DB26C2"/>
    <w:rsid w:val="00DB63CF"/>
    <w:rsid w:val="00DB6ADC"/>
    <w:rsid w:val="00DE0D5A"/>
    <w:rsid w:val="00DE43CE"/>
    <w:rsid w:val="00DE7A57"/>
    <w:rsid w:val="00DF78D8"/>
    <w:rsid w:val="00E014CF"/>
    <w:rsid w:val="00E147B6"/>
    <w:rsid w:val="00E202E9"/>
    <w:rsid w:val="00E21008"/>
    <w:rsid w:val="00E40004"/>
    <w:rsid w:val="00E4009D"/>
    <w:rsid w:val="00E434DA"/>
    <w:rsid w:val="00E57352"/>
    <w:rsid w:val="00E67F37"/>
    <w:rsid w:val="00E707FD"/>
    <w:rsid w:val="00E84A91"/>
    <w:rsid w:val="00E944A5"/>
    <w:rsid w:val="00EA0BD4"/>
    <w:rsid w:val="00EA5A0B"/>
    <w:rsid w:val="00EB05BF"/>
    <w:rsid w:val="00EB14AC"/>
    <w:rsid w:val="00EB2DE1"/>
    <w:rsid w:val="00ED45EB"/>
    <w:rsid w:val="00F11039"/>
    <w:rsid w:val="00F15D4D"/>
    <w:rsid w:val="00F17FB1"/>
    <w:rsid w:val="00F20825"/>
    <w:rsid w:val="00F26AEF"/>
    <w:rsid w:val="00F35A61"/>
    <w:rsid w:val="00F40C39"/>
    <w:rsid w:val="00F47D75"/>
    <w:rsid w:val="00F55F30"/>
    <w:rsid w:val="00F63EB9"/>
    <w:rsid w:val="00F6629A"/>
    <w:rsid w:val="00F66D08"/>
    <w:rsid w:val="00F74149"/>
    <w:rsid w:val="00FA334A"/>
    <w:rsid w:val="00FA6375"/>
    <w:rsid w:val="00FA7E91"/>
    <w:rsid w:val="00FB78FE"/>
    <w:rsid w:val="00FB7D1C"/>
    <w:rsid w:val="00FC4AE2"/>
    <w:rsid w:val="00FD589C"/>
    <w:rsid w:val="00FE3657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9C064"/>
  <w15:docId w15:val="{4F44C2ED-1514-4E78-A9C1-54063B9F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1B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5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E0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2E08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E08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C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C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7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E91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A7E91"/>
  </w:style>
  <w:style w:type="paragraph" w:styleId="Footer">
    <w:name w:val="footer"/>
    <w:basedOn w:val="Normal"/>
    <w:link w:val="FooterChar"/>
    <w:uiPriority w:val="99"/>
    <w:unhideWhenUsed/>
    <w:rsid w:val="00FA7E91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A7E91"/>
  </w:style>
  <w:style w:type="character" w:styleId="CommentReference">
    <w:name w:val="annotation reference"/>
    <w:basedOn w:val="DefaultParagraphFont"/>
    <w:uiPriority w:val="99"/>
    <w:semiHidden/>
    <w:unhideWhenUsed/>
    <w:rsid w:val="00D31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675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675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67940"/>
  </w:style>
  <w:style w:type="paragraph" w:styleId="FootnoteText">
    <w:name w:val="footnote text"/>
    <w:basedOn w:val="Normal"/>
    <w:link w:val="FootnoteTextChar"/>
    <w:uiPriority w:val="99"/>
    <w:unhideWhenUsed/>
    <w:rsid w:val="005006C5"/>
    <w:rPr>
      <w:rFonts w:asciiTheme="minorHAnsi" w:eastAsiaTheme="minorEastAsia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06C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006C5"/>
    <w:rPr>
      <w:vertAlign w:val="superscript"/>
    </w:rPr>
  </w:style>
  <w:style w:type="character" w:customStyle="1" w:styleId="apple-converted-space">
    <w:name w:val="apple-converted-space"/>
    <w:basedOn w:val="DefaultParagraphFont"/>
    <w:rsid w:val="00BB4BE0"/>
  </w:style>
  <w:style w:type="character" w:styleId="FollowedHyperlink">
    <w:name w:val="FollowedHyperlink"/>
    <w:basedOn w:val="DefaultParagraphFont"/>
    <w:uiPriority w:val="99"/>
    <w:semiHidden/>
    <w:unhideWhenUsed/>
    <w:rsid w:val="008210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107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210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F1AD6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C91F6F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91F6F"/>
    <w:rPr>
      <w:rFonts w:ascii="Calibri" w:eastAsia="Times New Roman" w:hAnsi="Calibri" w:cs="Calibri"/>
      <w:noProof/>
      <w:szCs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C91F6F"/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91F6F"/>
    <w:rPr>
      <w:rFonts w:ascii="Calibri" w:eastAsia="Times New Roman" w:hAnsi="Calibri" w:cs="Calibri"/>
      <w:noProof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pectrummodel.zendesk.com/hc/en-us/articles/115001964191-Spectrum-STI-Module-Overview-Manu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ectrummodel.zendesk.com/hc/en-us/articles/115008306167-Application-of-the-Spectrum-STI-estimation-model-estimating-STI-prevalence-and-time-trends-Collating-Country-Data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renromp@avenirhealth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AC07-20C4-429F-BEDA-3766A34F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3930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WI, Teodora Elvira</dc:creator>
  <cp:lastModifiedBy>Eline Korenromp</cp:lastModifiedBy>
  <cp:revision>3</cp:revision>
  <cp:lastPrinted>2016-04-14T12:04:00Z</cp:lastPrinted>
  <dcterms:created xsi:type="dcterms:W3CDTF">2020-08-04T09:16:00Z</dcterms:created>
  <dcterms:modified xsi:type="dcterms:W3CDTF">2020-08-04T09:17:00Z</dcterms:modified>
</cp:coreProperties>
</file>