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64F01" w14:textId="5B735F10" w:rsidR="00404F16" w:rsidRPr="000E6156" w:rsidRDefault="00404F16" w:rsidP="00FC19E4">
      <w:pPr>
        <w:ind w:right="-160"/>
        <w:rPr>
          <w:rFonts w:cstheme="minorHAnsi"/>
          <w:b/>
          <w:color w:val="000000"/>
          <w:sz w:val="32"/>
          <w:szCs w:val="32"/>
          <w:lang w:val="en-US"/>
        </w:rPr>
      </w:pPr>
      <w:r w:rsidRPr="000E6156">
        <w:rPr>
          <w:rFonts w:cstheme="minorHAnsi"/>
          <w:noProof/>
          <w:lang w:val="en-US"/>
        </w:rPr>
        <w:drawing>
          <wp:inline distT="0" distB="0" distL="0" distR="0" wp14:anchorId="6311C57C" wp14:editId="3373FBE5">
            <wp:extent cx="1957070" cy="594348"/>
            <wp:effectExtent l="0" t="0" r="5080" b="0"/>
            <wp:docPr id="10" name="Picture 10"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23638" cy="614564"/>
                    </a:xfrm>
                    <a:prstGeom prst="rect">
                      <a:avLst/>
                    </a:prstGeom>
                  </pic:spPr>
                </pic:pic>
              </a:graphicData>
            </a:graphic>
          </wp:inline>
        </w:drawing>
      </w:r>
      <w:r w:rsidRPr="000E6156">
        <w:rPr>
          <w:rFonts w:cstheme="minorHAnsi"/>
          <w:b/>
          <w:color w:val="000000"/>
          <w:sz w:val="32"/>
          <w:szCs w:val="32"/>
          <w:lang w:val="en-US"/>
        </w:rPr>
        <w:tab/>
      </w:r>
      <w:r w:rsidR="00FC19E4">
        <w:rPr>
          <w:rFonts w:cstheme="minorHAnsi"/>
          <w:b/>
          <w:color w:val="000000"/>
          <w:sz w:val="32"/>
          <w:szCs w:val="32"/>
          <w:lang w:val="en-US"/>
        </w:rPr>
        <w:tab/>
      </w:r>
      <w:r w:rsidRPr="000E6156">
        <w:rPr>
          <w:rFonts w:cstheme="minorHAnsi"/>
          <w:b/>
          <w:color w:val="000000"/>
          <w:sz w:val="32"/>
          <w:szCs w:val="32"/>
          <w:lang w:val="en-US"/>
        </w:rPr>
        <w:tab/>
      </w:r>
      <w:r w:rsidRPr="000E6156">
        <w:rPr>
          <w:rFonts w:cstheme="minorHAnsi"/>
          <w:b/>
          <w:color w:val="000000"/>
          <w:sz w:val="32"/>
          <w:szCs w:val="32"/>
          <w:lang w:val="en-US"/>
        </w:rPr>
        <w:tab/>
      </w:r>
      <w:r w:rsidR="00FC19E4">
        <w:rPr>
          <w:rFonts w:cstheme="minorHAnsi"/>
          <w:b/>
          <w:color w:val="000000"/>
          <w:sz w:val="32"/>
          <w:szCs w:val="32"/>
          <w:lang w:val="en-US"/>
        </w:rPr>
        <w:tab/>
      </w:r>
      <w:r w:rsidRPr="000E6156">
        <w:rPr>
          <w:rFonts w:cstheme="minorHAnsi"/>
          <w:noProof/>
          <w:lang w:val="en-US"/>
        </w:rPr>
        <w:drawing>
          <wp:inline distT="0" distB="0" distL="0" distR="0" wp14:anchorId="02F09207" wp14:editId="56031726">
            <wp:extent cx="1641303" cy="694690"/>
            <wp:effectExtent l="0" t="0" r="0" b="0"/>
            <wp:docPr id="2" name="Picture 15" descr="cid:image001.png@01D031CF.61CF20E0"/>
            <wp:cNvGraphicFramePr/>
            <a:graphic xmlns:a="http://schemas.openxmlformats.org/drawingml/2006/main">
              <a:graphicData uri="http://schemas.openxmlformats.org/drawingml/2006/picture">
                <pic:pic xmlns:pic="http://schemas.openxmlformats.org/drawingml/2006/picture">
                  <pic:nvPicPr>
                    <pic:cNvPr id="16" name="Picture 15" descr="cid:image001.png@01D031CF.61CF20E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759" cy="700385"/>
                    </a:xfrm>
                    <a:prstGeom prst="rect">
                      <a:avLst/>
                    </a:prstGeom>
                    <a:noFill/>
                    <a:ln>
                      <a:noFill/>
                    </a:ln>
                  </pic:spPr>
                </pic:pic>
              </a:graphicData>
            </a:graphic>
          </wp:inline>
        </w:drawing>
      </w:r>
    </w:p>
    <w:p w14:paraId="5632156E" w14:textId="77777777" w:rsidR="00404F16" w:rsidRDefault="00404F16" w:rsidP="00360B04">
      <w:pPr>
        <w:jc w:val="center"/>
        <w:rPr>
          <w:rFonts w:cs="Times New Roman (Body CS)"/>
          <w:b/>
          <w:bCs/>
          <w:sz w:val="20"/>
          <w:szCs w:val="20"/>
        </w:rPr>
      </w:pPr>
    </w:p>
    <w:p w14:paraId="1A7C0FC2" w14:textId="77777777" w:rsidR="00360B04" w:rsidRPr="00CF3455" w:rsidRDefault="00360B04" w:rsidP="00360B04">
      <w:pPr>
        <w:jc w:val="center"/>
        <w:rPr>
          <w:rFonts w:cs="Times New Roman (Body CS)"/>
          <w:b/>
          <w:bCs/>
          <w:sz w:val="20"/>
          <w:szCs w:val="20"/>
        </w:rPr>
      </w:pPr>
    </w:p>
    <w:p w14:paraId="728C1F79" w14:textId="77777777" w:rsidR="003B542E" w:rsidRDefault="00360B04" w:rsidP="00360B04">
      <w:pPr>
        <w:jc w:val="center"/>
        <w:rPr>
          <w:rFonts w:cs="Times New Roman (Body CS)"/>
          <w:b/>
          <w:bCs/>
          <w:sz w:val="32"/>
          <w:szCs w:val="32"/>
          <w:lang w:val="en-US"/>
        </w:rPr>
      </w:pPr>
      <w:r w:rsidRPr="00DC66DE">
        <w:rPr>
          <w:rFonts w:cs="Times New Roman (Body CS)"/>
          <w:b/>
          <w:bCs/>
          <w:sz w:val="32"/>
          <w:szCs w:val="32"/>
          <w:lang w:val="en-US"/>
        </w:rPr>
        <w:t>S</w:t>
      </w:r>
      <w:r w:rsidR="00197DE7" w:rsidRPr="00DC66DE">
        <w:rPr>
          <w:rFonts w:cs="Times New Roman (Body CS)"/>
          <w:b/>
          <w:bCs/>
          <w:sz w:val="32"/>
          <w:szCs w:val="32"/>
          <w:lang w:val="en-US"/>
        </w:rPr>
        <w:t>yphilis</w:t>
      </w:r>
      <w:r w:rsidR="003B542E">
        <w:rPr>
          <w:rFonts w:cs="Times New Roman (Body CS)"/>
          <w:b/>
          <w:bCs/>
          <w:sz w:val="32"/>
          <w:szCs w:val="32"/>
          <w:lang w:val="en-US"/>
        </w:rPr>
        <w:t xml:space="preserve"> Interventions Towards Elimination (SITE) model:</w:t>
      </w:r>
    </w:p>
    <w:p w14:paraId="44B1856E" w14:textId="0E4F5784" w:rsidR="00360B04" w:rsidRDefault="00360B04" w:rsidP="00360B04">
      <w:pPr>
        <w:jc w:val="center"/>
        <w:rPr>
          <w:rFonts w:cs="Times New Roman (Body CS)"/>
          <w:b/>
          <w:bCs/>
          <w:sz w:val="32"/>
          <w:szCs w:val="32"/>
          <w:lang w:val="en-US"/>
        </w:rPr>
      </w:pPr>
      <w:r w:rsidRPr="00DC66DE">
        <w:rPr>
          <w:rFonts w:cs="Times New Roman (Body CS)"/>
          <w:b/>
          <w:bCs/>
          <w:sz w:val="32"/>
          <w:szCs w:val="32"/>
          <w:lang w:val="en-US"/>
        </w:rPr>
        <w:t>Training Exercises</w:t>
      </w:r>
      <w:r w:rsidR="005C2C71">
        <w:rPr>
          <w:rFonts w:cs="Times New Roman (Body CS)"/>
          <w:b/>
          <w:bCs/>
          <w:sz w:val="32"/>
          <w:szCs w:val="32"/>
          <w:lang w:val="en-US"/>
        </w:rPr>
        <w:t xml:space="preserve"> to manipulate inputs and use outputs</w:t>
      </w:r>
    </w:p>
    <w:p w14:paraId="14DD2185" w14:textId="77777777" w:rsidR="00FC19E4" w:rsidRPr="00DC66DE" w:rsidRDefault="00FC19E4" w:rsidP="00360B04">
      <w:pPr>
        <w:jc w:val="center"/>
        <w:rPr>
          <w:rFonts w:cs="Times New Roman (Body CS)"/>
          <w:b/>
          <w:bCs/>
          <w:sz w:val="32"/>
          <w:szCs w:val="32"/>
          <w:lang w:val="en-US"/>
        </w:rPr>
      </w:pPr>
    </w:p>
    <w:p w14:paraId="79655420" w14:textId="72D8BD33" w:rsidR="00360B04" w:rsidRPr="00FC19E4" w:rsidRDefault="003D3C30" w:rsidP="00FC19E4">
      <w:pPr>
        <w:jc w:val="center"/>
        <w:rPr>
          <w:rFonts w:cs="Times New Roman (Body CS)"/>
          <w:i/>
          <w:iCs/>
          <w:szCs w:val="28"/>
          <w:lang w:val="en-US"/>
        </w:rPr>
      </w:pPr>
      <w:r w:rsidRPr="00FC19E4">
        <w:rPr>
          <w:rFonts w:cs="Times New Roman (Body CS)"/>
          <w:i/>
          <w:iCs/>
          <w:sz w:val="20"/>
          <w:lang w:val="en-US"/>
        </w:rPr>
        <w:t xml:space="preserve">Version </w:t>
      </w:r>
      <w:r w:rsidR="00FC19E4">
        <w:rPr>
          <w:rFonts w:cs="Times New Roman (Body CS)"/>
          <w:i/>
          <w:iCs/>
          <w:sz w:val="20"/>
          <w:lang w:val="en-US"/>
        </w:rPr>
        <w:t>0</w:t>
      </w:r>
      <w:r w:rsidR="001F3EC7" w:rsidRPr="00FC19E4">
        <w:rPr>
          <w:rFonts w:cs="Times New Roman (Body CS)"/>
          <w:i/>
          <w:iCs/>
          <w:sz w:val="20"/>
          <w:lang w:val="en-US"/>
        </w:rPr>
        <w:t>9</w:t>
      </w:r>
      <w:r w:rsidRPr="00FC19E4">
        <w:rPr>
          <w:rFonts w:cs="Times New Roman (Body CS)"/>
          <w:i/>
          <w:iCs/>
          <w:sz w:val="20"/>
          <w:lang w:val="en-US"/>
        </w:rPr>
        <w:t xml:space="preserve"> Ju</w:t>
      </w:r>
      <w:r w:rsidR="00FC19E4">
        <w:rPr>
          <w:rFonts w:cs="Times New Roman (Body CS)"/>
          <w:i/>
          <w:iCs/>
          <w:sz w:val="20"/>
          <w:lang w:val="en-US"/>
        </w:rPr>
        <w:t>ly</w:t>
      </w:r>
      <w:r w:rsidRPr="00FC19E4">
        <w:rPr>
          <w:rFonts w:cs="Times New Roman (Body CS)"/>
          <w:i/>
          <w:iCs/>
          <w:sz w:val="20"/>
          <w:lang w:val="en-US"/>
        </w:rPr>
        <w:t xml:space="preserve"> 2020</w:t>
      </w:r>
      <w:r w:rsidR="00FC19E4">
        <w:rPr>
          <w:rFonts w:cs="Times New Roman (Body CS)"/>
          <w:i/>
          <w:iCs/>
          <w:szCs w:val="28"/>
          <w:lang w:val="en-US"/>
        </w:rPr>
        <w:tab/>
      </w:r>
      <w:r w:rsidR="00FC19E4">
        <w:rPr>
          <w:rFonts w:cs="Times New Roman (Body CS)"/>
          <w:i/>
          <w:iCs/>
          <w:szCs w:val="28"/>
          <w:lang w:val="en-US"/>
        </w:rPr>
        <w:tab/>
      </w:r>
      <w:r w:rsidR="00FC19E4">
        <w:rPr>
          <w:rFonts w:cs="Times New Roman (Body CS)"/>
          <w:i/>
          <w:iCs/>
          <w:szCs w:val="28"/>
          <w:lang w:val="en-US"/>
        </w:rPr>
        <w:tab/>
      </w:r>
      <w:r w:rsidR="00FC19E4">
        <w:rPr>
          <w:rFonts w:cs="Times New Roman (Body CS)"/>
          <w:i/>
          <w:iCs/>
          <w:szCs w:val="28"/>
          <w:lang w:val="en-US"/>
        </w:rPr>
        <w:tab/>
      </w:r>
      <w:r w:rsidR="00FC19E4">
        <w:rPr>
          <w:rFonts w:cs="Times New Roman (Body CS)"/>
          <w:i/>
          <w:iCs/>
          <w:szCs w:val="28"/>
          <w:lang w:val="en-US"/>
        </w:rPr>
        <w:tab/>
      </w:r>
      <w:r w:rsidR="00FC19E4">
        <w:rPr>
          <w:rFonts w:cs="Times New Roman (Body CS)"/>
          <w:i/>
          <w:iCs/>
          <w:szCs w:val="28"/>
          <w:lang w:val="en-US"/>
        </w:rPr>
        <w:tab/>
      </w:r>
      <w:r w:rsidR="00FC19E4">
        <w:rPr>
          <w:rFonts w:cs="Times New Roman (Body CS)"/>
          <w:i/>
          <w:iCs/>
          <w:szCs w:val="28"/>
          <w:lang w:val="en-US"/>
        </w:rPr>
        <w:tab/>
      </w:r>
      <w:r w:rsidR="00FC19E4">
        <w:rPr>
          <w:noProof/>
        </w:rPr>
        <w:drawing>
          <wp:inline distT="0" distB="0" distL="0" distR="0" wp14:anchorId="1166EC05" wp14:editId="3479307E">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84C6969" w14:textId="4026F761" w:rsidR="005C2C71" w:rsidRPr="005C2C71" w:rsidRDefault="005C2C71" w:rsidP="005C2C71">
      <w:pPr>
        <w:spacing w:before="100" w:beforeAutospacing="1" w:after="100" w:afterAutospacing="1"/>
        <w:rPr>
          <w:sz w:val="20"/>
          <w:szCs w:val="20"/>
        </w:rPr>
      </w:pPr>
      <w:r>
        <w:rPr>
          <w:sz w:val="20"/>
          <w:szCs w:val="20"/>
        </w:rPr>
        <w:t>This document provides a series of training exercises designed to show how to use the SITE model input and output files.  The training exercises are divided into t</w:t>
      </w:r>
      <w:r w:rsidR="00996EF1">
        <w:rPr>
          <w:sz w:val="20"/>
          <w:szCs w:val="20"/>
        </w:rPr>
        <w:t>hree</w:t>
      </w:r>
      <w:r>
        <w:rPr>
          <w:sz w:val="20"/>
          <w:szCs w:val="20"/>
        </w:rPr>
        <w:t xml:space="preserve"> parts: </w:t>
      </w:r>
      <w:r w:rsidR="00996EF1">
        <w:rPr>
          <w:sz w:val="20"/>
          <w:szCs w:val="20"/>
        </w:rPr>
        <w:t>first (exercises 1-3) t</w:t>
      </w:r>
      <w:r>
        <w:rPr>
          <w:sz w:val="20"/>
          <w:szCs w:val="20"/>
        </w:rPr>
        <w:t xml:space="preserve">he </w:t>
      </w:r>
      <w:r w:rsidR="00996EF1">
        <w:rPr>
          <w:sz w:val="20"/>
          <w:szCs w:val="20"/>
        </w:rPr>
        <w:t>out</w:t>
      </w:r>
      <w:r>
        <w:rPr>
          <w:sz w:val="20"/>
          <w:szCs w:val="20"/>
        </w:rPr>
        <w:t xml:space="preserve">put file, </w:t>
      </w:r>
      <w:r w:rsidR="00996EF1">
        <w:rPr>
          <w:sz w:val="20"/>
          <w:szCs w:val="20"/>
        </w:rPr>
        <w:t>second (exercise 4) the prevalence calibration data, and third (exercise 5)</w:t>
      </w:r>
      <w:r>
        <w:rPr>
          <w:sz w:val="20"/>
          <w:szCs w:val="20"/>
        </w:rPr>
        <w:t xml:space="preserve"> </w:t>
      </w:r>
      <w:r w:rsidR="00996EF1">
        <w:rPr>
          <w:sz w:val="20"/>
          <w:szCs w:val="20"/>
        </w:rPr>
        <w:t>in</w:t>
      </w:r>
      <w:r>
        <w:rPr>
          <w:sz w:val="20"/>
          <w:szCs w:val="20"/>
        </w:rPr>
        <w:t>put file.  There is also an annex that reviews typical problems or challenges with the model fit/calibration to country data and suggests input parameters to alter to improve the fit.</w:t>
      </w:r>
    </w:p>
    <w:p w14:paraId="3DABE87A" w14:textId="239ADADE" w:rsidR="00FE2243" w:rsidRPr="00B55BE7" w:rsidRDefault="00DC2D0F">
      <w:pPr>
        <w:rPr>
          <w:rFonts w:cs="Times New Roman (Body CS)"/>
          <w:b/>
          <w:bCs/>
          <w:smallCaps/>
          <w:color w:val="0070C0"/>
          <w:sz w:val="28"/>
          <w:szCs w:val="28"/>
        </w:rPr>
      </w:pPr>
      <w:r w:rsidRPr="00B55BE7">
        <w:rPr>
          <w:rFonts w:cs="Times New Roman (Body CS)"/>
          <w:b/>
          <w:bCs/>
          <w:smallCaps/>
          <w:color w:val="0070C0"/>
          <w:sz w:val="28"/>
          <w:szCs w:val="28"/>
        </w:rPr>
        <w:t xml:space="preserve">Exercise 1: </w:t>
      </w:r>
      <w:r w:rsidR="003B18C1">
        <w:rPr>
          <w:rFonts w:cs="Times New Roman (Body CS)"/>
          <w:b/>
          <w:bCs/>
          <w:smallCaps/>
          <w:color w:val="0070C0"/>
          <w:sz w:val="28"/>
          <w:szCs w:val="28"/>
        </w:rPr>
        <w:t xml:space="preserve">Plot </w:t>
      </w:r>
      <w:r w:rsidR="00B324F3">
        <w:rPr>
          <w:rFonts w:cs="Times New Roman (Body CS)"/>
          <w:b/>
          <w:bCs/>
          <w:smallCaps/>
          <w:color w:val="0070C0"/>
          <w:sz w:val="28"/>
          <w:szCs w:val="28"/>
        </w:rPr>
        <w:t>Syphilis</w:t>
      </w:r>
      <w:r w:rsidR="003B18C1">
        <w:rPr>
          <w:rFonts w:cs="Times New Roman (Body CS)"/>
          <w:b/>
          <w:bCs/>
          <w:smallCaps/>
          <w:color w:val="0070C0"/>
          <w:sz w:val="28"/>
          <w:szCs w:val="28"/>
        </w:rPr>
        <w:t xml:space="preserve"> indicator data</w:t>
      </w:r>
      <w:r w:rsidR="008E15E5">
        <w:rPr>
          <w:rFonts w:cs="Times New Roman (Body CS)"/>
          <w:b/>
          <w:bCs/>
          <w:smallCaps/>
          <w:color w:val="0070C0"/>
          <w:sz w:val="28"/>
          <w:szCs w:val="28"/>
        </w:rPr>
        <w:t>,</w:t>
      </w:r>
      <w:r w:rsidR="003B18C1">
        <w:rPr>
          <w:rFonts w:cs="Times New Roman (Body CS)"/>
          <w:b/>
          <w:bCs/>
          <w:smallCaps/>
          <w:color w:val="0070C0"/>
          <w:sz w:val="28"/>
          <w:szCs w:val="28"/>
        </w:rPr>
        <w:t xml:space="preserve"> </w:t>
      </w:r>
      <w:r w:rsidR="008E15E5">
        <w:rPr>
          <w:rFonts w:cs="Times New Roman (Body CS)"/>
          <w:b/>
          <w:bCs/>
          <w:smallCaps/>
          <w:color w:val="0070C0"/>
          <w:sz w:val="28"/>
          <w:szCs w:val="28"/>
        </w:rPr>
        <w:t>in</w:t>
      </w:r>
      <w:r w:rsidR="003B18C1">
        <w:rPr>
          <w:rFonts w:cs="Times New Roman (Body CS)"/>
          <w:b/>
          <w:bCs/>
          <w:smallCaps/>
          <w:color w:val="0070C0"/>
          <w:sz w:val="28"/>
          <w:szCs w:val="28"/>
        </w:rPr>
        <w:t xml:space="preserve"> time trend </w:t>
      </w:r>
      <w:r w:rsidR="008E15E5">
        <w:rPr>
          <w:rFonts w:cs="Times New Roman (Body CS)"/>
          <w:b/>
          <w:bCs/>
          <w:smallCaps/>
          <w:color w:val="0070C0"/>
          <w:sz w:val="28"/>
          <w:szCs w:val="28"/>
        </w:rPr>
        <w:t xml:space="preserve">line </w:t>
      </w:r>
      <w:r w:rsidR="003B18C1">
        <w:rPr>
          <w:rFonts w:cs="Times New Roman (Body CS)"/>
          <w:b/>
          <w:bCs/>
          <w:smallCaps/>
          <w:color w:val="0070C0"/>
          <w:sz w:val="28"/>
          <w:szCs w:val="28"/>
        </w:rPr>
        <w:t>graphs</w:t>
      </w:r>
    </w:p>
    <w:p w14:paraId="77366071" w14:textId="77777777" w:rsidR="00761546" w:rsidRPr="00CF3455" w:rsidRDefault="00761546">
      <w:pPr>
        <w:rPr>
          <w:b/>
          <w:bCs/>
          <w:sz w:val="20"/>
          <w:szCs w:val="20"/>
        </w:rPr>
      </w:pPr>
    </w:p>
    <w:p w14:paraId="0141BC45" w14:textId="18CC2550" w:rsidR="001071D8" w:rsidRDefault="00B324F3">
      <w:pPr>
        <w:rPr>
          <w:sz w:val="20"/>
          <w:szCs w:val="20"/>
        </w:rPr>
      </w:pPr>
      <w:r>
        <w:rPr>
          <w:sz w:val="20"/>
          <w:szCs w:val="20"/>
        </w:rPr>
        <w:t>To start t</w:t>
      </w:r>
      <w:r w:rsidR="00ED33F0" w:rsidRPr="00CF3455">
        <w:rPr>
          <w:sz w:val="20"/>
          <w:szCs w:val="20"/>
        </w:rPr>
        <w:t>his exercise</w:t>
      </w:r>
      <w:r>
        <w:rPr>
          <w:sz w:val="20"/>
          <w:szCs w:val="20"/>
        </w:rPr>
        <w:t xml:space="preserve">, please open in Excel </w:t>
      </w:r>
      <w:r w:rsidR="00370964" w:rsidRPr="00CF3455">
        <w:rPr>
          <w:sz w:val="20"/>
          <w:szCs w:val="20"/>
        </w:rPr>
        <w:t xml:space="preserve">the </w:t>
      </w:r>
      <w:r w:rsidR="002B693D" w:rsidRPr="00CF3455">
        <w:rPr>
          <w:sz w:val="20"/>
          <w:szCs w:val="20"/>
        </w:rPr>
        <w:t>training ex</w:t>
      </w:r>
      <w:r w:rsidR="001071D8">
        <w:rPr>
          <w:sz w:val="20"/>
          <w:szCs w:val="20"/>
        </w:rPr>
        <w:t xml:space="preserve">ample country </w:t>
      </w:r>
      <w:r w:rsidR="00E721B2">
        <w:rPr>
          <w:sz w:val="20"/>
          <w:szCs w:val="20"/>
        </w:rPr>
        <w:t xml:space="preserve">output </w:t>
      </w:r>
      <w:r w:rsidR="001071D8">
        <w:rPr>
          <w:sz w:val="20"/>
          <w:szCs w:val="20"/>
        </w:rPr>
        <w:t xml:space="preserve">file: </w:t>
      </w:r>
    </w:p>
    <w:p w14:paraId="34322129" w14:textId="6ADB5EF2" w:rsidR="0043762E" w:rsidRPr="00C87BE8" w:rsidRDefault="00BF7A1E">
      <w:pPr>
        <w:rPr>
          <w:b/>
          <w:bCs/>
          <w:i/>
          <w:iCs/>
          <w:sz w:val="20"/>
          <w:szCs w:val="20"/>
          <w:lang w:val="fr-CH"/>
        </w:rPr>
      </w:pPr>
      <w:r w:rsidRPr="00C87BE8">
        <w:rPr>
          <w:b/>
          <w:bCs/>
          <w:i/>
          <w:iCs/>
          <w:sz w:val="20"/>
          <w:szCs w:val="20"/>
          <w:lang w:val="fr-CH"/>
        </w:rPr>
        <w:t>Syphilis SITE model_User interface OUTPUT_2</w:t>
      </w:r>
      <w:r w:rsidR="0004417B">
        <w:rPr>
          <w:b/>
          <w:bCs/>
          <w:i/>
          <w:iCs/>
          <w:sz w:val="20"/>
          <w:szCs w:val="20"/>
          <w:lang w:val="fr-CH"/>
        </w:rPr>
        <w:t>9</w:t>
      </w:r>
      <w:r w:rsidRPr="00C87BE8">
        <w:rPr>
          <w:b/>
          <w:bCs/>
          <w:i/>
          <w:iCs/>
          <w:sz w:val="20"/>
          <w:szCs w:val="20"/>
          <w:lang w:val="fr-CH"/>
        </w:rPr>
        <w:t>June2020.xlsx.</w:t>
      </w:r>
    </w:p>
    <w:p w14:paraId="694FF64F" w14:textId="77777777" w:rsidR="00BF7A1E" w:rsidRPr="00C87BE8" w:rsidRDefault="00BF7A1E">
      <w:pPr>
        <w:rPr>
          <w:b/>
          <w:bCs/>
          <w:i/>
          <w:iCs/>
          <w:sz w:val="20"/>
          <w:szCs w:val="20"/>
          <w:lang w:val="fr-CH"/>
        </w:rPr>
      </w:pPr>
    </w:p>
    <w:p w14:paraId="5BF59593" w14:textId="620321D8" w:rsidR="0043762E" w:rsidRPr="0043762E" w:rsidRDefault="0043762E">
      <w:pPr>
        <w:rPr>
          <w:sz w:val="20"/>
          <w:szCs w:val="20"/>
        </w:rPr>
      </w:pPr>
      <w:r w:rsidRPr="00A658CF">
        <w:rPr>
          <w:sz w:val="20"/>
          <w:szCs w:val="20"/>
        </w:rPr>
        <w:t>The Worksheet</w:t>
      </w:r>
      <w:r w:rsidRPr="00A658CF">
        <w:rPr>
          <w:b/>
          <w:bCs/>
          <w:i/>
          <w:iCs/>
          <w:sz w:val="20"/>
          <w:szCs w:val="20"/>
        </w:rPr>
        <w:t xml:space="preserve"> Trend graphs</w:t>
      </w:r>
      <w:r w:rsidRPr="00A658CF">
        <w:rPr>
          <w:sz w:val="20"/>
          <w:szCs w:val="20"/>
        </w:rPr>
        <w:t xml:space="preserve"> </w:t>
      </w:r>
      <w:r w:rsidR="00A658CF">
        <w:rPr>
          <w:sz w:val="20"/>
          <w:szCs w:val="20"/>
        </w:rPr>
        <w:t>allows you to display model results on a time trend line graph, for the indicator, population group(s) and calendar years of your choice.</w:t>
      </w:r>
    </w:p>
    <w:p w14:paraId="797B7A60" w14:textId="77777777" w:rsidR="00B31C15" w:rsidRDefault="00B31C15">
      <w:pPr>
        <w:rPr>
          <w:b/>
          <w:bCs/>
          <w:sz w:val="20"/>
          <w:szCs w:val="20"/>
        </w:rPr>
      </w:pPr>
    </w:p>
    <w:p w14:paraId="090189A1" w14:textId="607F5BFF" w:rsidR="003B18C1" w:rsidRDefault="00B324F3" w:rsidP="009136F6">
      <w:pPr>
        <w:pStyle w:val="ListParagraph"/>
        <w:numPr>
          <w:ilvl w:val="1"/>
          <w:numId w:val="1"/>
        </w:numPr>
        <w:rPr>
          <w:sz w:val="20"/>
          <w:szCs w:val="20"/>
        </w:rPr>
      </w:pPr>
      <w:r w:rsidRPr="003B18C1">
        <w:rPr>
          <w:sz w:val="20"/>
          <w:szCs w:val="20"/>
        </w:rPr>
        <w:t xml:space="preserve">In sheet </w:t>
      </w:r>
      <w:r w:rsidRPr="003B18C1">
        <w:rPr>
          <w:b/>
          <w:bCs/>
          <w:i/>
          <w:iCs/>
          <w:sz w:val="20"/>
          <w:szCs w:val="20"/>
        </w:rPr>
        <w:t>Trend graphs</w:t>
      </w:r>
      <w:r w:rsidRPr="003B18C1">
        <w:rPr>
          <w:sz w:val="20"/>
          <w:szCs w:val="20"/>
        </w:rPr>
        <w:t xml:space="preserve">, </w:t>
      </w:r>
      <w:r w:rsidR="003B18C1" w:rsidRPr="003B18C1">
        <w:rPr>
          <w:sz w:val="20"/>
          <w:szCs w:val="20"/>
        </w:rPr>
        <w:t>g</w:t>
      </w:r>
      <w:r w:rsidRPr="003B18C1">
        <w:rPr>
          <w:sz w:val="20"/>
          <w:szCs w:val="20"/>
        </w:rPr>
        <w:t xml:space="preserve">enerate a </w:t>
      </w:r>
      <w:r w:rsidR="00C9740C">
        <w:rPr>
          <w:sz w:val="20"/>
          <w:szCs w:val="20"/>
        </w:rPr>
        <w:t>graph</w:t>
      </w:r>
      <w:r w:rsidRPr="003B18C1">
        <w:rPr>
          <w:sz w:val="20"/>
          <w:szCs w:val="20"/>
        </w:rPr>
        <w:t xml:space="preserve"> of </w:t>
      </w:r>
      <w:r w:rsidR="00C9740C" w:rsidRPr="00C9740C">
        <w:rPr>
          <w:i/>
          <w:iCs/>
          <w:sz w:val="20"/>
          <w:szCs w:val="20"/>
        </w:rPr>
        <w:t>I</w:t>
      </w:r>
      <w:r w:rsidRPr="00C9740C">
        <w:rPr>
          <w:i/>
          <w:iCs/>
          <w:sz w:val="20"/>
          <w:szCs w:val="20"/>
        </w:rPr>
        <w:t>ncident cases</w:t>
      </w:r>
      <w:r w:rsidR="003B18C1" w:rsidRPr="003B18C1">
        <w:rPr>
          <w:sz w:val="20"/>
          <w:szCs w:val="20"/>
        </w:rPr>
        <w:t xml:space="preserve">, over </w:t>
      </w:r>
      <w:r w:rsidR="008A6C96">
        <w:rPr>
          <w:sz w:val="20"/>
          <w:szCs w:val="20"/>
        </w:rPr>
        <w:t xml:space="preserve">years </w:t>
      </w:r>
      <w:r w:rsidR="003B18C1" w:rsidRPr="003B18C1">
        <w:rPr>
          <w:sz w:val="20"/>
          <w:szCs w:val="20"/>
        </w:rPr>
        <w:t xml:space="preserve">2000-2030, for </w:t>
      </w:r>
      <w:r w:rsidR="009670A8">
        <w:rPr>
          <w:sz w:val="20"/>
          <w:szCs w:val="20"/>
        </w:rPr>
        <w:t xml:space="preserve">7 groups: </w:t>
      </w:r>
      <w:bookmarkStart w:id="0" w:name="_Hlk43822789"/>
      <w:r w:rsidR="0037734C">
        <w:rPr>
          <w:sz w:val="20"/>
          <w:szCs w:val="20"/>
        </w:rPr>
        <w:t xml:space="preserve">Women, </w:t>
      </w:r>
      <w:r w:rsidR="003B18C1" w:rsidRPr="003B18C1">
        <w:rPr>
          <w:sz w:val="20"/>
          <w:szCs w:val="20"/>
        </w:rPr>
        <w:t>Low</w:t>
      </w:r>
      <w:r w:rsidR="0037734C">
        <w:rPr>
          <w:sz w:val="20"/>
          <w:szCs w:val="20"/>
        </w:rPr>
        <w:t xml:space="preserve"> </w:t>
      </w:r>
      <w:r w:rsidR="003B18C1" w:rsidRPr="003B18C1">
        <w:rPr>
          <w:sz w:val="20"/>
          <w:szCs w:val="20"/>
        </w:rPr>
        <w:t>risk</w:t>
      </w:r>
      <w:r w:rsidR="0037734C">
        <w:rPr>
          <w:sz w:val="20"/>
          <w:szCs w:val="20"/>
        </w:rPr>
        <w:t>; Men, Low risk; Women,</w:t>
      </w:r>
      <w:r w:rsidR="003B18C1" w:rsidRPr="003B18C1">
        <w:rPr>
          <w:sz w:val="20"/>
          <w:szCs w:val="20"/>
        </w:rPr>
        <w:t xml:space="preserve"> Medium</w:t>
      </w:r>
      <w:r w:rsidR="0037734C">
        <w:rPr>
          <w:sz w:val="20"/>
          <w:szCs w:val="20"/>
        </w:rPr>
        <w:t xml:space="preserve"> </w:t>
      </w:r>
      <w:r w:rsidR="003B18C1" w:rsidRPr="003B18C1">
        <w:rPr>
          <w:sz w:val="20"/>
          <w:szCs w:val="20"/>
        </w:rPr>
        <w:t>risk</w:t>
      </w:r>
      <w:r w:rsidR="0037734C">
        <w:rPr>
          <w:sz w:val="20"/>
          <w:szCs w:val="20"/>
        </w:rPr>
        <w:t xml:space="preserve">; Men, Medium risk; Women, </w:t>
      </w:r>
      <w:r w:rsidR="003B18C1" w:rsidRPr="003B18C1">
        <w:rPr>
          <w:sz w:val="20"/>
          <w:szCs w:val="20"/>
        </w:rPr>
        <w:t>High</w:t>
      </w:r>
      <w:r w:rsidR="0037734C">
        <w:rPr>
          <w:sz w:val="20"/>
          <w:szCs w:val="20"/>
        </w:rPr>
        <w:t xml:space="preserve"> </w:t>
      </w:r>
      <w:r w:rsidR="003B18C1" w:rsidRPr="003B18C1">
        <w:rPr>
          <w:sz w:val="20"/>
          <w:szCs w:val="20"/>
        </w:rPr>
        <w:t xml:space="preserve">risk </w:t>
      </w:r>
      <w:r w:rsidR="0037734C">
        <w:rPr>
          <w:sz w:val="20"/>
          <w:szCs w:val="20"/>
        </w:rPr>
        <w:t>(FSW); Men, High Risk;</w:t>
      </w:r>
      <w:r w:rsidR="003B18C1" w:rsidRPr="003B18C1">
        <w:rPr>
          <w:sz w:val="20"/>
          <w:szCs w:val="20"/>
        </w:rPr>
        <w:t xml:space="preserve"> and MSM. </w:t>
      </w:r>
      <w:bookmarkEnd w:id="0"/>
      <w:r w:rsidR="003B18C1" w:rsidRPr="003B18C1">
        <w:rPr>
          <w:sz w:val="20"/>
          <w:szCs w:val="20"/>
        </w:rPr>
        <w:t xml:space="preserve">Use the drop-down menus in </w:t>
      </w:r>
      <w:r w:rsidR="0043762E">
        <w:rPr>
          <w:sz w:val="20"/>
          <w:szCs w:val="20"/>
        </w:rPr>
        <w:t>C</w:t>
      </w:r>
      <w:r w:rsidR="003B18C1" w:rsidRPr="003B18C1">
        <w:rPr>
          <w:sz w:val="20"/>
          <w:szCs w:val="20"/>
        </w:rPr>
        <w:t xml:space="preserve">ells: </w:t>
      </w:r>
    </w:p>
    <w:p w14:paraId="2A3DE318" w14:textId="1E11320C" w:rsidR="003B18C1" w:rsidRDefault="003B18C1" w:rsidP="009136F6">
      <w:pPr>
        <w:pStyle w:val="ListParagraph"/>
        <w:numPr>
          <w:ilvl w:val="2"/>
          <w:numId w:val="1"/>
        </w:numPr>
        <w:rPr>
          <w:sz w:val="20"/>
          <w:szCs w:val="20"/>
        </w:rPr>
      </w:pPr>
      <w:r w:rsidRPr="003B18C1">
        <w:rPr>
          <w:sz w:val="20"/>
          <w:szCs w:val="20"/>
        </w:rPr>
        <w:t>L2-L3, for start and end year</w:t>
      </w:r>
    </w:p>
    <w:p w14:paraId="14B9B680" w14:textId="06289694" w:rsidR="003B18C1" w:rsidRDefault="003B18C1" w:rsidP="009136F6">
      <w:pPr>
        <w:pStyle w:val="ListParagraph"/>
        <w:numPr>
          <w:ilvl w:val="2"/>
          <w:numId w:val="1"/>
        </w:numPr>
        <w:rPr>
          <w:sz w:val="20"/>
          <w:szCs w:val="20"/>
        </w:rPr>
      </w:pPr>
      <w:r>
        <w:rPr>
          <w:sz w:val="20"/>
          <w:szCs w:val="20"/>
        </w:rPr>
        <w:t>L4, for the indicator</w:t>
      </w:r>
    </w:p>
    <w:p w14:paraId="5E254F0E" w14:textId="225E8436" w:rsidR="003B18C1" w:rsidRPr="003B18C1" w:rsidRDefault="003B18C1" w:rsidP="009136F6">
      <w:pPr>
        <w:pStyle w:val="ListParagraph"/>
        <w:numPr>
          <w:ilvl w:val="2"/>
          <w:numId w:val="1"/>
        </w:numPr>
        <w:rPr>
          <w:sz w:val="20"/>
          <w:szCs w:val="20"/>
        </w:rPr>
      </w:pPr>
      <w:r>
        <w:rPr>
          <w:sz w:val="20"/>
          <w:szCs w:val="20"/>
        </w:rPr>
        <w:t>K7-K13, for the population group(s) to display.</w:t>
      </w:r>
    </w:p>
    <w:p w14:paraId="32160F32" w14:textId="77777777" w:rsidR="003B18C1" w:rsidRDefault="003B18C1" w:rsidP="00B324F3">
      <w:pPr>
        <w:rPr>
          <w:sz w:val="20"/>
          <w:szCs w:val="20"/>
        </w:rPr>
      </w:pPr>
    </w:p>
    <w:p w14:paraId="3D770B18" w14:textId="48F62B28" w:rsidR="00B324F3" w:rsidRPr="00B324F3" w:rsidRDefault="004E6DEE" w:rsidP="00454D74">
      <w:pPr>
        <w:ind w:left="720"/>
        <w:rPr>
          <w:sz w:val="20"/>
          <w:szCs w:val="20"/>
        </w:rPr>
      </w:pPr>
      <w:r>
        <w:rPr>
          <w:sz w:val="20"/>
          <w:szCs w:val="20"/>
        </w:rPr>
        <w:t>Q1</w:t>
      </w:r>
      <w:r w:rsidR="00CD1256">
        <w:rPr>
          <w:sz w:val="20"/>
          <w:szCs w:val="20"/>
        </w:rPr>
        <w:t>A</w:t>
      </w:r>
      <w:r w:rsidR="00E721B2">
        <w:rPr>
          <w:sz w:val="20"/>
          <w:szCs w:val="20"/>
        </w:rPr>
        <w:t>.</w:t>
      </w:r>
      <w:r>
        <w:rPr>
          <w:sz w:val="20"/>
          <w:szCs w:val="20"/>
        </w:rPr>
        <w:t xml:space="preserve"> </w:t>
      </w:r>
      <w:r w:rsidR="00457375" w:rsidRPr="003B18C1">
        <w:rPr>
          <w:sz w:val="20"/>
          <w:szCs w:val="20"/>
        </w:rPr>
        <w:t xml:space="preserve">Which </w:t>
      </w:r>
      <w:r>
        <w:rPr>
          <w:sz w:val="20"/>
          <w:szCs w:val="20"/>
        </w:rPr>
        <w:t xml:space="preserve">two </w:t>
      </w:r>
      <w:r w:rsidR="00457375" w:rsidRPr="003B18C1">
        <w:rPr>
          <w:sz w:val="20"/>
          <w:szCs w:val="20"/>
        </w:rPr>
        <w:t>population groups cover the most incident</w:t>
      </w:r>
      <w:r w:rsidR="00457375">
        <w:rPr>
          <w:sz w:val="20"/>
          <w:szCs w:val="20"/>
        </w:rPr>
        <w:t xml:space="preserve"> cases</w:t>
      </w:r>
      <w:r w:rsidR="00C9740C">
        <w:rPr>
          <w:sz w:val="20"/>
          <w:szCs w:val="20"/>
        </w:rPr>
        <w:t>, in 2018</w:t>
      </w:r>
      <w:r w:rsidR="00457375">
        <w:rPr>
          <w:sz w:val="20"/>
          <w:szCs w:val="20"/>
        </w:rPr>
        <w:t>?</w:t>
      </w:r>
    </w:p>
    <w:p w14:paraId="3F030FF1" w14:textId="00357791" w:rsidR="004E6DEE" w:rsidRDefault="004E6DEE" w:rsidP="00454D74">
      <w:pPr>
        <w:ind w:left="720"/>
        <w:rPr>
          <w:sz w:val="20"/>
          <w:szCs w:val="20"/>
        </w:rPr>
      </w:pPr>
      <w:r w:rsidRPr="004E6DEE">
        <w:rPr>
          <w:sz w:val="20"/>
          <w:szCs w:val="20"/>
          <w:highlight w:val="green"/>
        </w:rPr>
        <w:t>Answer</w:t>
      </w:r>
      <w:r>
        <w:rPr>
          <w:sz w:val="20"/>
          <w:szCs w:val="20"/>
          <w:highlight w:val="green"/>
        </w:rPr>
        <w:t xml:space="preserve"> to Q1</w:t>
      </w:r>
      <w:r w:rsidR="00CD1256">
        <w:rPr>
          <w:sz w:val="20"/>
          <w:szCs w:val="20"/>
          <w:highlight w:val="green"/>
        </w:rPr>
        <w:t>A</w:t>
      </w:r>
      <w:r w:rsidR="003B542E">
        <w:rPr>
          <w:sz w:val="20"/>
          <w:szCs w:val="20"/>
          <w:highlight w:val="green"/>
        </w:rPr>
        <w:t>.</w:t>
      </w:r>
      <w:r w:rsidRPr="004E6DEE">
        <w:rPr>
          <w:sz w:val="20"/>
          <w:szCs w:val="20"/>
          <w:highlight w:val="green"/>
        </w:rPr>
        <w:t xml:space="preserve"> </w:t>
      </w:r>
      <w:r w:rsidR="00B362DA">
        <w:rPr>
          <w:sz w:val="20"/>
          <w:szCs w:val="20"/>
          <w:highlight w:val="green"/>
        </w:rPr>
        <w:t>W</w:t>
      </w:r>
      <w:r w:rsidRPr="004E6DEE">
        <w:rPr>
          <w:sz w:val="20"/>
          <w:szCs w:val="20"/>
          <w:highlight w:val="green"/>
        </w:rPr>
        <w:t>omen</w:t>
      </w:r>
      <w:r w:rsidR="0077648B">
        <w:rPr>
          <w:sz w:val="20"/>
          <w:szCs w:val="20"/>
          <w:highlight w:val="green"/>
        </w:rPr>
        <w:t>, M</w:t>
      </w:r>
      <w:r w:rsidRPr="004E6DEE">
        <w:rPr>
          <w:sz w:val="20"/>
          <w:szCs w:val="20"/>
          <w:highlight w:val="green"/>
        </w:rPr>
        <w:t>edium risk, followed by Men</w:t>
      </w:r>
      <w:r w:rsidR="0077648B">
        <w:rPr>
          <w:sz w:val="20"/>
          <w:szCs w:val="20"/>
          <w:highlight w:val="green"/>
        </w:rPr>
        <w:t>, M</w:t>
      </w:r>
      <w:r w:rsidRPr="004E6DEE">
        <w:rPr>
          <w:sz w:val="20"/>
          <w:szCs w:val="20"/>
          <w:highlight w:val="green"/>
        </w:rPr>
        <w:t>edium risk.</w:t>
      </w:r>
    </w:p>
    <w:p w14:paraId="2D6B0B9B" w14:textId="77777777" w:rsidR="004E6DEE" w:rsidRDefault="004E6DEE" w:rsidP="00B324F3">
      <w:pPr>
        <w:rPr>
          <w:sz w:val="20"/>
          <w:szCs w:val="20"/>
        </w:rPr>
      </w:pPr>
    </w:p>
    <w:p w14:paraId="6D6CE13C" w14:textId="5814AE63" w:rsidR="003B18C1" w:rsidRDefault="003B18C1" w:rsidP="00B324F3">
      <w:pPr>
        <w:rPr>
          <w:sz w:val="20"/>
          <w:szCs w:val="20"/>
        </w:rPr>
      </w:pPr>
      <w:r>
        <w:rPr>
          <w:sz w:val="20"/>
          <w:szCs w:val="20"/>
        </w:rPr>
        <w:t>Then, change the graph to show just 3 lines: All women, All men</w:t>
      </w:r>
      <w:r w:rsidR="00E721B2">
        <w:rPr>
          <w:sz w:val="20"/>
          <w:szCs w:val="20"/>
        </w:rPr>
        <w:t>,</w:t>
      </w:r>
      <w:r>
        <w:rPr>
          <w:sz w:val="20"/>
          <w:szCs w:val="20"/>
        </w:rPr>
        <w:t xml:space="preserve"> and All women + men.</w:t>
      </w:r>
    </w:p>
    <w:p w14:paraId="6F41299F" w14:textId="77777777" w:rsidR="003B18C1" w:rsidRPr="00B324F3" w:rsidRDefault="003B18C1" w:rsidP="00B324F3">
      <w:pPr>
        <w:rPr>
          <w:sz w:val="20"/>
          <w:szCs w:val="20"/>
        </w:rPr>
      </w:pPr>
    </w:p>
    <w:p w14:paraId="33D92C8C" w14:textId="4792F3FE" w:rsidR="00B324F3" w:rsidRPr="00C9740C" w:rsidRDefault="003B18C1" w:rsidP="00C9740C">
      <w:pPr>
        <w:pStyle w:val="ListParagraph"/>
        <w:numPr>
          <w:ilvl w:val="1"/>
          <w:numId w:val="1"/>
        </w:numPr>
        <w:rPr>
          <w:sz w:val="20"/>
          <w:szCs w:val="20"/>
        </w:rPr>
      </w:pPr>
      <w:r w:rsidRPr="00C9740C">
        <w:rPr>
          <w:sz w:val="20"/>
          <w:szCs w:val="20"/>
        </w:rPr>
        <w:t xml:space="preserve">Next, change the </w:t>
      </w:r>
      <w:r w:rsidR="00C9740C" w:rsidRPr="00C9740C">
        <w:rPr>
          <w:sz w:val="20"/>
          <w:szCs w:val="20"/>
        </w:rPr>
        <w:t>graph</w:t>
      </w:r>
      <w:r w:rsidRPr="00C9740C">
        <w:rPr>
          <w:sz w:val="20"/>
          <w:szCs w:val="20"/>
        </w:rPr>
        <w:t xml:space="preserve"> to </w:t>
      </w:r>
      <w:r w:rsidR="00C9740C" w:rsidRPr="00C9740C">
        <w:rPr>
          <w:sz w:val="20"/>
          <w:szCs w:val="20"/>
        </w:rPr>
        <w:t xml:space="preserve">instead </w:t>
      </w:r>
      <w:r w:rsidRPr="00C9740C">
        <w:rPr>
          <w:sz w:val="20"/>
          <w:szCs w:val="20"/>
        </w:rPr>
        <w:t>show the</w:t>
      </w:r>
      <w:r w:rsidR="00B324F3" w:rsidRPr="00C9740C">
        <w:rPr>
          <w:sz w:val="20"/>
          <w:szCs w:val="20"/>
        </w:rPr>
        <w:t xml:space="preserve"> </w:t>
      </w:r>
      <w:r w:rsidR="008A6C96" w:rsidRPr="00996EF1">
        <w:rPr>
          <w:i/>
          <w:iCs/>
          <w:sz w:val="20"/>
          <w:szCs w:val="20"/>
        </w:rPr>
        <w:t>N</w:t>
      </w:r>
      <w:r w:rsidR="00B324F3" w:rsidRPr="00996EF1">
        <w:rPr>
          <w:i/>
          <w:iCs/>
          <w:sz w:val="20"/>
          <w:szCs w:val="20"/>
        </w:rPr>
        <w:t>umber</w:t>
      </w:r>
      <w:r w:rsidR="00457375" w:rsidRPr="00996EF1">
        <w:rPr>
          <w:i/>
          <w:iCs/>
          <w:sz w:val="20"/>
          <w:szCs w:val="20"/>
        </w:rPr>
        <w:t xml:space="preserve"> </w:t>
      </w:r>
      <w:r w:rsidR="00B324F3" w:rsidRPr="00996EF1">
        <w:rPr>
          <w:i/>
          <w:iCs/>
          <w:sz w:val="20"/>
          <w:szCs w:val="20"/>
        </w:rPr>
        <w:t>clinically treated</w:t>
      </w:r>
      <w:r w:rsidR="00457375" w:rsidRPr="00C9740C">
        <w:rPr>
          <w:sz w:val="20"/>
          <w:szCs w:val="20"/>
        </w:rPr>
        <w:t>.</w:t>
      </w:r>
    </w:p>
    <w:p w14:paraId="32150C66" w14:textId="457EEEE7" w:rsidR="00B324F3" w:rsidRDefault="00B324F3">
      <w:pPr>
        <w:rPr>
          <w:sz w:val="20"/>
          <w:szCs w:val="20"/>
        </w:rPr>
      </w:pPr>
    </w:p>
    <w:p w14:paraId="2696812A" w14:textId="76E5F0EF" w:rsidR="00996EF1" w:rsidRPr="00996EF1" w:rsidRDefault="00B324F3" w:rsidP="00996EF1">
      <w:pPr>
        <w:pStyle w:val="ListParagraph"/>
        <w:numPr>
          <w:ilvl w:val="1"/>
          <w:numId w:val="1"/>
        </w:numPr>
        <w:rPr>
          <w:sz w:val="20"/>
          <w:szCs w:val="20"/>
          <w:lang w:val="en-US"/>
        </w:rPr>
      </w:pPr>
      <w:r w:rsidRPr="00996EF1">
        <w:rPr>
          <w:sz w:val="20"/>
          <w:szCs w:val="20"/>
        </w:rPr>
        <w:t xml:space="preserve">Generate a </w:t>
      </w:r>
      <w:r w:rsidR="00C9740C" w:rsidRPr="00996EF1">
        <w:rPr>
          <w:sz w:val="20"/>
          <w:szCs w:val="20"/>
        </w:rPr>
        <w:t>graph</w:t>
      </w:r>
      <w:r w:rsidRPr="00996EF1">
        <w:rPr>
          <w:sz w:val="20"/>
          <w:szCs w:val="20"/>
        </w:rPr>
        <w:t xml:space="preserve"> of </w:t>
      </w:r>
      <w:r w:rsidR="003B18C1" w:rsidRPr="00996EF1">
        <w:rPr>
          <w:sz w:val="20"/>
          <w:szCs w:val="20"/>
        </w:rPr>
        <w:t xml:space="preserve">the </w:t>
      </w:r>
      <w:r w:rsidR="008A6C96" w:rsidRPr="00996EF1">
        <w:rPr>
          <w:i/>
          <w:iCs/>
          <w:sz w:val="20"/>
          <w:szCs w:val="20"/>
        </w:rPr>
        <w:t>P</w:t>
      </w:r>
      <w:r w:rsidR="003B18C1" w:rsidRPr="00996EF1">
        <w:rPr>
          <w:i/>
          <w:iCs/>
          <w:sz w:val="20"/>
          <w:szCs w:val="20"/>
        </w:rPr>
        <w:t xml:space="preserve">revalence </w:t>
      </w:r>
      <w:r w:rsidR="00E62E71" w:rsidRPr="00996EF1">
        <w:rPr>
          <w:i/>
          <w:iCs/>
          <w:sz w:val="20"/>
          <w:szCs w:val="20"/>
        </w:rPr>
        <w:t>%,</w:t>
      </w:r>
      <w:r w:rsidR="003B18C1" w:rsidRPr="00996EF1">
        <w:rPr>
          <w:i/>
          <w:iCs/>
          <w:sz w:val="20"/>
          <w:szCs w:val="20"/>
        </w:rPr>
        <w:t xml:space="preserve"> RPR+</w:t>
      </w:r>
      <w:r w:rsidR="0077648B" w:rsidRPr="00996EF1">
        <w:rPr>
          <w:i/>
          <w:iCs/>
          <w:sz w:val="20"/>
          <w:szCs w:val="20"/>
        </w:rPr>
        <w:t>,</w:t>
      </w:r>
      <w:r w:rsidR="003B18C1" w:rsidRPr="00996EF1">
        <w:rPr>
          <w:i/>
          <w:iCs/>
          <w:sz w:val="20"/>
          <w:szCs w:val="20"/>
        </w:rPr>
        <w:t xml:space="preserve"> TPHA+</w:t>
      </w:r>
      <w:r w:rsidR="003B18C1" w:rsidRPr="00996EF1">
        <w:rPr>
          <w:sz w:val="20"/>
          <w:szCs w:val="20"/>
        </w:rPr>
        <w:t xml:space="preserve">. </w:t>
      </w:r>
      <w:r w:rsidR="00C9740C" w:rsidRPr="00996EF1">
        <w:rPr>
          <w:sz w:val="20"/>
          <w:szCs w:val="20"/>
        </w:rPr>
        <w:t>For proper display, c</w:t>
      </w:r>
      <w:r w:rsidR="00C9740C" w:rsidRPr="00996EF1">
        <w:rPr>
          <w:sz w:val="20"/>
          <w:szCs w:val="20"/>
          <w:lang w:val="en-US"/>
        </w:rPr>
        <w:t>hange the y-axis to be percentages instead of numbers, since prevalence is in the range of 0-1 i.e. 0-100%</w:t>
      </w:r>
      <w:r w:rsidR="00996EF1" w:rsidRPr="00996EF1">
        <w:rPr>
          <w:sz w:val="20"/>
          <w:szCs w:val="20"/>
          <w:lang w:val="en-US"/>
        </w:rPr>
        <w:t>:</w:t>
      </w:r>
    </w:p>
    <w:p w14:paraId="57D1A126" w14:textId="441D1C4C" w:rsidR="00996EF1" w:rsidRDefault="007A112D" w:rsidP="00996EF1">
      <w:pPr>
        <w:pStyle w:val="ListParagraph"/>
        <w:ind w:left="360"/>
        <w:rPr>
          <w:sz w:val="20"/>
          <w:szCs w:val="20"/>
          <w:lang w:val="en-US"/>
        </w:rPr>
      </w:pPr>
      <w:r>
        <w:rPr>
          <w:sz w:val="20"/>
          <w:szCs w:val="20"/>
          <w:lang w:val="en-US"/>
        </w:rPr>
        <w:br/>
      </w:r>
      <w:r w:rsidR="00996EF1">
        <w:rPr>
          <w:sz w:val="20"/>
          <w:szCs w:val="20"/>
          <w:lang w:val="en-US"/>
        </w:rPr>
        <w:t xml:space="preserve">Put the mouse/cursor on the </w:t>
      </w:r>
      <w:r w:rsidR="003E332A">
        <w:rPr>
          <w:sz w:val="20"/>
          <w:szCs w:val="20"/>
          <w:lang w:val="en-US"/>
        </w:rPr>
        <w:t>Y</w:t>
      </w:r>
      <w:r w:rsidR="00996EF1">
        <w:rPr>
          <w:sz w:val="20"/>
          <w:szCs w:val="20"/>
          <w:lang w:val="en-US"/>
        </w:rPr>
        <w:t xml:space="preserve">-axis, so it shows ‘Vertical (Value) Axis’; click-right with the mouse, then in </w:t>
      </w:r>
      <w:r w:rsidR="003E332A">
        <w:rPr>
          <w:sz w:val="20"/>
          <w:szCs w:val="20"/>
          <w:lang w:val="en-US"/>
        </w:rPr>
        <w:t xml:space="preserve">the </w:t>
      </w:r>
      <w:r w:rsidR="00996EF1">
        <w:rPr>
          <w:sz w:val="20"/>
          <w:szCs w:val="20"/>
          <w:lang w:val="en-US"/>
        </w:rPr>
        <w:t>drop-down menu select Format Axis</w:t>
      </w:r>
      <w:r w:rsidR="003E332A">
        <w:rPr>
          <w:sz w:val="20"/>
          <w:szCs w:val="20"/>
          <w:lang w:val="en-US"/>
        </w:rPr>
        <w:t xml:space="preserve">. A new </w:t>
      </w:r>
      <w:r w:rsidR="00996EF1">
        <w:rPr>
          <w:sz w:val="20"/>
          <w:szCs w:val="20"/>
          <w:lang w:val="en-US"/>
        </w:rPr>
        <w:t xml:space="preserve">pop-up menu </w:t>
      </w:r>
      <w:r w:rsidR="003E332A">
        <w:rPr>
          <w:sz w:val="20"/>
          <w:szCs w:val="20"/>
          <w:lang w:val="en-US"/>
        </w:rPr>
        <w:t>will open</w:t>
      </w:r>
      <w:r w:rsidR="00996EF1">
        <w:rPr>
          <w:sz w:val="20"/>
          <w:szCs w:val="20"/>
          <w:lang w:val="en-US"/>
        </w:rPr>
        <w:t xml:space="preserve">, under Axis Options, change Maximum and Units (major) such that the results lines </w:t>
      </w:r>
      <w:r w:rsidR="003E332A">
        <w:rPr>
          <w:sz w:val="20"/>
          <w:szCs w:val="20"/>
          <w:lang w:val="en-US"/>
        </w:rPr>
        <w:t>are</w:t>
      </w:r>
      <w:r w:rsidR="00996EF1">
        <w:rPr>
          <w:sz w:val="20"/>
          <w:szCs w:val="20"/>
          <w:lang w:val="en-US"/>
        </w:rPr>
        <w:t xml:space="preserve"> clearly readable. Further down th</w:t>
      </w:r>
      <w:r w:rsidR="003E332A">
        <w:rPr>
          <w:sz w:val="20"/>
          <w:szCs w:val="20"/>
          <w:lang w:val="en-US"/>
        </w:rPr>
        <w:t>e</w:t>
      </w:r>
      <w:r w:rsidR="00996EF1">
        <w:rPr>
          <w:sz w:val="20"/>
          <w:szCs w:val="20"/>
          <w:lang w:val="en-US"/>
        </w:rPr>
        <w:t xml:space="preserve"> menu, under Number, </w:t>
      </w:r>
      <w:r w:rsidR="003E332A">
        <w:rPr>
          <w:sz w:val="20"/>
          <w:szCs w:val="20"/>
          <w:lang w:val="en-US"/>
        </w:rPr>
        <w:t>are options for changing</w:t>
      </w:r>
      <w:r w:rsidR="00996EF1">
        <w:rPr>
          <w:sz w:val="20"/>
          <w:szCs w:val="20"/>
          <w:lang w:val="en-US"/>
        </w:rPr>
        <w:t xml:space="preserve"> the </w:t>
      </w:r>
      <w:r w:rsidR="003E332A">
        <w:rPr>
          <w:sz w:val="20"/>
          <w:szCs w:val="20"/>
          <w:lang w:val="en-US"/>
        </w:rPr>
        <w:t>number format.</w:t>
      </w:r>
      <w:r w:rsidR="00996EF1">
        <w:rPr>
          <w:sz w:val="20"/>
          <w:szCs w:val="20"/>
          <w:lang w:val="en-US"/>
        </w:rPr>
        <w:t xml:space="preserve"> </w:t>
      </w:r>
    </w:p>
    <w:p w14:paraId="0962A352" w14:textId="77777777" w:rsidR="00996EF1" w:rsidRDefault="00996EF1" w:rsidP="00996EF1">
      <w:pPr>
        <w:pStyle w:val="ListParagraph"/>
        <w:ind w:left="360"/>
        <w:rPr>
          <w:sz w:val="20"/>
          <w:szCs w:val="20"/>
          <w:lang w:val="en-US"/>
        </w:rPr>
      </w:pPr>
    </w:p>
    <w:p w14:paraId="3F3F358A" w14:textId="6EC06990" w:rsidR="004E6DEE" w:rsidRPr="00996EF1" w:rsidRDefault="007A112D" w:rsidP="00996EF1">
      <w:pPr>
        <w:pStyle w:val="ListParagraph"/>
        <w:numPr>
          <w:ilvl w:val="1"/>
          <w:numId w:val="1"/>
        </w:numPr>
        <w:rPr>
          <w:sz w:val="20"/>
          <w:szCs w:val="20"/>
          <w:lang w:val="en-US"/>
        </w:rPr>
      </w:pPr>
      <w:r>
        <w:rPr>
          <w:sz w:val="20"/>
          <w:szCs w:val="20"/>
          <w:lang w:val="en-US"/>
        </w:rPr>
        <w:lastRenderedPageBreak/>
        <w:t>Finally, c</w:t>
      </w:r>
      <w:r w:rsidR="008341D9" w:rsidRPr="00996EF1">
        <w:rPr>
          <w:sz w:val="20"/>
          <w:szCs w:val="20"/>
          <w:lang w:val="en-US"/>
        </w:rPr>
        <w:t xml:space="preserve">hange the groups shown, from </w:t>
      </w:r>
      <w:r w:rsidR="008341D9" w:rsidRPr="00996EF1">
        <w:rPr>
          <w:sz w:val="20"/>
          <w:szCs w:val="20"/>
        </w:rPr>
        <w:t>All women, All men and All women + men, back to the 7 sub-groups: Women, Low risk; Men, Low risk; Women, Medium risk; Men, Medium risk; Women, High risk (FSW); Men, High Risk; and MSM.</w:t>
      </w:r>
    </w:p>
    <w:p w14:paraId="4C010317" w14:textId="2FB81BF8" w:rsidR="004E6DEE" w:rsidRPr="00C9740C" w:rsidRDefault="004E6DEE" w:rsidP="003B18C1">
      <w:pPr>
        <w:rPr>
          <w:sz w:val="20"/>
          <w:szCs w:val="20"/>
          <w:lang w:val="en-US"/>
        </w:rPr>
      </w:pPr>
    </w:p>
    <w:p w14:paraId="316DF337" w14:textId="086617F0" w:rsidR="008A6C96" w:rsidRDefault="008A6C96" w:rsidP="00454D74">
      <w:pPr>
        <w:ind w:left="720"/>
        <w:rPr>
          <w:sz w:val="20"/>
          <w:szCs w:val="20"/>
        </w:rPr>
      </w:pPr>
      <w:r w:rsidRPr="00A658CF">
        <w:rPr>
          <w:sz w:val="20"/>
          <w:szCs w:val="20"/>
        </w:rPr>
        <w:t xml:space="preserve">Q1B. </w:t>
      </w:r>
      <w:r w:rsidR="008341D9" w:rsidRPr="00A658CF">
        <w:rPr>
          <w:sz w:val="20"/>
          <w:szCs w:val="20"/>
        </w:rPr>
        <w:t xml:space="preserve">Now look </w:t>
      </w:r>
      <w:r w:rsidR="00717CB7" w:rsidRPr="00A658CF">
        <w:rPr>
          <w:sz w:val="20"/>
          <w:szCs w:val="20"/>
        </w:rPr>
        <w:t xml:space="preserve">at the </w:t>
      </w:r>
      <w:r w:rsidR="0043762E" w:rsidRPr="00A658CF">
        <w:rPr>
          <w:sz w:val="20"/>
          <w:szCs w:val="20"/>
        </w:rPr>
        <w:t>Natural History Flow Chart (</w:t>
      </w:r>
      <w:r w:rsidR="00717CB7" w:rsidRPr="00A658CF">
        <w:rPr>
          <w:sz w:val="20"/>
          <w:szCs w:val="20"/>
        </w:rPr>
        <w:t>screenshot below</w:t>
      </w:r>
      <w:r w:rsidR="0043762E" w:rsidRPr="00A658CF">
        <w:rPr>
          <w:sz w:val="20"/>
          <w:szCs w:val="20"/>
        </w:rPr>
        <w:t>)</w:t>
      </w:r>
      <w:r w:rsidR="00717CB7" w:rsidRPr="00A658CF">
        <w:rPr>
          <w:sz w:val="20"/>
          <w:szCs w:val="20"/>
        </w:rPr>
        <w:t>.</w:t>
      </w:r>
      <w:r w:rsidR="00454D74" w:rsidRPr="00A658CF">
        <w:rPr>
          <w:sz w:val="20"/>
          <w:szCs w:val="20"/>
        </w:rPr>
        <w:t xml:space="preserve">  </w:t>
      </w:r>
      <w:r w:rsidRPr="00A658CF">
        <w:rPr>
          <w:sz w:val="20"/>
          <w:szCs w:val="20"/>
        </w:rPr>
        <w:t xml:space="preserve">Which compartments in the natural history flow </w:t>
      </w:r>
      <w:r w:rsidR="008341D9" w:rsidRPr="00A658CF">
        <w:rPr>
          <w:sz w:val="20"/>
          <w:szCs w:val="20"/>
        </w:rPr>
        <w:t>chart</w:t>
      </w:r>
      <w:r w:rsidRPr="00A658CF">
        <w:rPr>
          <w:sz w:val="20"/>
          <w:szCs w:val="20"/>
        </w:rPr>
        <w:t xml:space="preserve"> does </w:t>
      </w:r>
      <w:r w:rsidR="008341D9" w:rsidRPr="00A658CF">
        <w:rPr>
          <w:sz w:val="20"/>
          <w:szCs w:val="20"/>
        </w:rPr>
        <w:t>‘</w:t>
      </w:r>
      <w:r w:rsidR="008341D9" w:rsidRPr="00A658CF">
        <w:rPr>
          <w:i/>
          <w:iCs/>
          <w:sz w:val="20"/>
          <w:szCs w:val="20"/>
        </w:rPr>
        <w:t xml:space="preserve">Prevalence %, RPR+ TPHA+’ </w:t>
      </w:r>
      <w:r w:rsidR="008341D9" w:rsidRPr="00A658CF">
        <w:rPr>
          <w:sz w:val="20"/>
          <w:szCs w:val="20"/>
        </w:rPr>
        <w:t>correspond to</w:t>
      </w:r>
      <w:r w:rsidRPr="00A658CF">
        <w:rPr>
          <w:sz w:val="20"/>
          <w:szCs w:val="20"/>
        </w:rPr>
        <w:t>?</w:t>
      </w:r>
      <w:r w:rsidR="00454D74" w:rsidRPr="00A658CF">
        <w:rPr>
          <w:sz w:val="20"/>
          <w:szCs w:val="20"/>
        </w:rPr>
        <w:t xml:space="preserve"> </w:t>
      </w:r>
      <w:r w:rsidRPr="00A658CF">
        <w:rPr>
          <w:sz w:val="20"/>
          <w:szCs w:val="20"/>
        </w:rPr>
        <w:t>&amp; Which compartments</w:t>
      </w:r>
      <w:r>
        <w:rPr>
          <w:sz w:val="20"/>
          <w:szCs w:val="20"/>
        </w:rPr>
        <w:t xml:space="preserve"> are covered by the indicator ‘Prevalence </w:t>
      </w:r>
      <w:r w:rsidR="00C9740C">
        <w:rPr>
          <w:sz w:val="20"/>
          <w:szCs w:val="20"/>
        </w:rPr>
        <w:t xml:space="preserve">%, </w:t>
      </w:r>
      <w:r>
        <w:rPr>
          <w:sz w:val="20"/>
          <w:szCs w:val="20"/>
        </w:rPr>
        <w:t>TPHA+?</w:t>
      </w:r>
    </w:p>
    <w:p w14:paraId="5E819BCE" w14:textId="0690683F" w:rsidR="00C9740C" w:rsidRDefault="008A6C96" w:rsidP="00454D74">
      <w:pPr>
        <w:ind w:left="720"/>
        <w:rPr>
          <w:sz w:val="20"/>
          <w:szCs w:val="20"/>
        </w:rPr>
      </w:pPr>
      <w:r w:rsidRPr="008A6C96">
        <w:rPr>
          <w:sz w:val="20"/>
          <w:szCs w:val="20"/>
          <w:highlight w:val="green"/>
        </w:rPr>
        <w:t>Answer to Q1</w:t>
      </w:r>
      <w:r w:rsidR="00E721B2">
        <w:rPr>
          <w:sz w:val="20"/>
          <w:szCs w:val="20"/>
          <w:highlight w:val="green"/>
        </w:rPr>
        <w:t>B</w:t>
      </w:r>
      <w:r w:rsidR="003B542E">
        <w:rPr>
          <w:sz w:val="20"/>
          <w:szCs w:val="20"/>
          <w:highlight w:val="green"/>
        </w:rPr>
        <w:t>.</w:t>
      </w:r>
      <w:r w:rsidRPr="008A6C96">
        <w:rPr>
          <w:sz w:val="20"/>
          <w:szCs w:val="20"/>
          <w:highlight w:val="green"/>
        </w:rPr>
        <w:t xml:space="preserve"> </w:t>
      </w:r>
      <w:r w:rsidR="00C9740C" w:rsidRPr="008A6C96">
        <w:rPr>
          <w:sz w:val="20"/>
          <w:szCs w:val="20"/>
          <w:highlight w:val="green"/>
        </w:rPr>
        <w:t xml:space="preserve">Prevalence </w:t>
      </w:r>
      <w:r w:rsidR="00C9740C">
        <w:rPr>
          <w:sz w:val="20"/>
          <w:szCs w:val="20"/>
          <w:highlight w:val="green"/>
        </w:rPr>
        <w:t xml:space="preserve">%, </w:t>
      </w:r>
      <w:r w:rsidR="00C9740C" w:rsidRPr="008A6C96">
        <w:rPr>
          <w:sz w:val="20"/>
          <w:szCs w:val="20"/>
          <w:highlight w:val="green"/>
        </w:rPr>
        <w:t xml:space="preserve">RPR+ TPHA+ </w:t>
      </w:r>
      <w:r w:rsidR="00C9740C">
        <w:rPr>
          <w:sz w:val="20"/>
          <w:szCs w:val="20"/>
          <w:highlight w:val="green"/>
        </w:rPr>
        <w:t>covers</w:t>
      </w:r>
      <w:r w:rsidR="00C9740C" w:rsidRPr="008A6C96">
        <w:rPr>
          <w:sz w:val="20"/>
          <w:szCs w:val="20"/>
          <w:highlight w:val="green"/>
        </w:rPr>
        <w:t xml:space="preserve"> Compartments, 2, 3, 4 and 5.</w:t>
      </w:r>
    </w:p>
    <w:p w14:paraId="5A6AE1F0" w14:textId="731582BC" w:rsidR="008A6C96" w:rsidRPr="008A6C96" w:rsidRDefault="008A6C96" w:rsidP="00454D74">
      <w:pPr>
        <w:ind w:left="720"/>
        <w:rPr>
          <w:sz w:val="20"/>
          <w:szCs w:val="20"/>
          <w:highlight w:val="green"/>
        </w:rPr>
      </w:pPr>
      <w:r w:rsidRPr="008A6C96">
        <w:rPr>
          <w:sz w:val="20"/>
          <w:szCs w:val="20"/>
          <w:highlight w:val="green"/>
        </w:rPr>
        <w:t xml:space="preserve">Prevalence </w:t>
      </w:r>
      <w:r w:rsidR="00E62E71">
        <w:rPr>
          <w:sz w:val="20"/>
          <w:szCs w:val="20"/>
          <w:highlight w:val="green"/>
        </w:rPr>
        <w:t>%, T</w:t>
      </w:r>
      <w:r w:rsidRPr="008A6C96">
        <w:rPr>
          <w:sz w:val="20"/>
          <w:szCs w:val="20"/>
          <w:highlight w:val="green"/>
        </w:rPr>
        <w:t xml:space="preserve">PHA+ </w:t>
      </w:r>
      <w:r w:rsidR="00C9740C">
        <w:rPr>
          <w:sz w:val="20"/>
          <w:szCs w:val="20"/>
          <w:highlight w:val="green"/>
        </w:rPr>
        <w:t>covers</w:t>
      </w:r>
      <w:r w:rsidRPr="008A6C96">
        <w:rPr>
          <w:sz w:val="20"/>
          <w:szCs w:val="20"/>
          <w:highlight w:val="green"/>
        </w:rPr>
        <w:t xml:space="preserve"> Compartments, 2, 3, 4, 5 and 6</w:t>
      </w:r>
    </w:p>
    <w:p w14:paraId="366D0E71" w14:textId="77777777" w:rsidR="008A6C96" w:rsidRDefault="008A6C96" w:rsidP="00454D74">
      <w:pPr>
        <w:ind w:left="720"/>
        <w:rPr>
          <w:sz w:val="20"/>
          <w:szCs w:val="20"/>
        </w:rPr>
      </w:pPr>
    </w:p>
    <w:p w14:paraId="57A865D5" w14:textId="6AF17ABB" w:rsidR="003B18C1" w:rsidRPr="00B324F3" w:rsidRDefault="004E6DEE" w:rsidP="00454D74">
      <w:pPr>
        <w:ind w:left="720"/>
        <w:rPr>
          <w:sz w:val="20"/>
          <w:szCs w:val="20"/>
        </w:rPr>
      </w:pPr>
      <w:r>
        <w:rPr>
          <w:sz w:val="20"/>
          <w:szCs w:val="20"/>
        </w:rPr>
        <w:t>Q1</w:t>
      </w:r>
      <w:r w:rsidR="008A6C96">
        <w:rPr>
          <w:sz w:val="20"/>
          <w:szCs w:val="20"/>
        </w:rPr>
        <w:t>C</w:t>
      </w:r>
      <w:r w:rsidR="008341D9">
        <w:rPr>
          <w:sz w:val="20"/>
          <w:szCs w:val="20"/>
        </w:rPr>
        <w:t>.</w:t>
      </w:r>
      <w:r>
        <w:rPr>
          <w:sz w:val="20"/>
          <w:szCs w:val="20"/>
        </w:rPr>
        <w:t xml:space="preserve"> </w:t>
      </w:r>
      <w:r w:rsidR="003B18C1">
        <w:rPr>
          <w:sz w:val="20"/>
          <w:szCs w:val="20"/>
        </w:rPr>
        <w:t xml:space="preserve">Which </w:t>
      </w:r>
      <w:r>
        <w:rPr>
          <w:sz w:val="20"/>
          <w:szCs w:val="20"/>
        </w:rPr>
        <w:t xml:space="preserve">two </w:t>
      </w:r>
      <w:r w:rsidR="003B18C1">
        <w:rPr>
          <w:sz w:val="20"/>
          <w:szCs w:val="20"/>
        </w:rPr>
        <w:t>population groups have the highest prevalence</w:t>
      </w:r>
      <w:r w:rsidR="0037734C">
        <w:rPr>
          <w:sz w:val="20"/>
          <w:szCs w:val="20"/>
        </w:rPr>
        <w:t>, in 2019</w:t>
      </w:r>
      <w:r w:rsidR="003B18C1">
        <w:rPr>
          <w:sz w:val="20"/>
          <w:szCs w:val="20"/>
        </w:rPr>
        <w:t>? Are these the same groups with most incident cases? If not, why not?</w:t>
      </w:r>
    </w:p>
    <w:p w14:paraId="6894785B" w14:textId="73B16714" w:rsidR="004E6DEE" w:rsidRDefault="004E6DEE" w:rsidP="00454D74">
      <w:pPr>
        <w:ind w:left="720"/>
        <w:rPr>
          <w:sz w:val="20"/>
          <w:szCs w:val="20"/>
        </w:rPr>
      </w:pPr>
      <w:r w:rsidRPr="004E6DEE">
        <w:rPr>
          <w:sz w:val="20"/>
          <w:szCs w:val="20"/>
          <w:highlight w:val="green"/>
        </w:rPr>
        <w:t>Answer</w:t>
      </w:r>
      <w:r>
        <w:rPr>
          <w:sz w:val="20"/>
          <w:szCs w:val="20"/>
          <w:highlight w:val="green"/>
        </w:rPr>
        <w:t xml:space="preserve"> to Q1</w:t>
      </w:r>
      <w:r w:rsidR="008A6C96">
        <w:rPr>
          <w:sz w:val="20"/>
          <w:szCs w:val="20"/>
          <w:highlight w:val="green"/>
        </w:rPr>
        <w:t>C</w:t>
      </w:r>
      <w:r w:rsidR="003B542E">
        <w:rPr>
          <w:sz w:val="20"/>
          <w:szCs w:val="20"/>
          <w:highlight w:val="green"/>
        </w:rPr>
        <w:t>.</w:t>
      </w:r>
      <w:r w:rsidRPr="004E6DEE">
        <w:rPr>
          <w:sz w:val="20"/>
          <w:szCs w:val="20"/>
          <w:highlight w:val="green"/>
        </w:rPr>
        <w:t xml:space="preserve"> </w:t>
      </w:r>
      <w:r w:rsidR="0037734C">
        <w:rPr>
          <w:sz w:val="20"/>
          <w:szCs w:val="20"/>
          <w:highlight w:val="green"/>
        </w:rPr>
        <w:t xml:space="preserve">MSM </w:t>
      </w:r>
      <w:r w:rsidR="0036304C">
        <w:rPr>
          <w:sz w:val="20"/>
          <w:szCs w:val="20"/>
          <w:highlight w:val="green"/>
        </w:rPr>
        <w:t>in 2019.  Up</w:t>
      </w:r>
      <w:r w:rsidR="0037734C">
        <w:rPr>
          <w:sz w:val="20"/>
          <w:szCs w:val="20"/>
          <w:highlight w:val="green"/>
        </w:rPr>
        <w:t xml:space="preserve"> to 2004 </w:t>
      </w:r>
      <w:r w:rsidR="0036304C">
        <w:rPr>
          <w:sz w:val="20"/>
          <w:szCs w:val="20"/>
          <w:highlight w:val="green"/>
        </w:rPr>
        <w:t xml:space="preserve"> Women, High Risk (</w:t>
      </w:r>
      <w:r>
        <w:rPr>
          <w:sz w:val="20"/>
          <w:szCs w:val="20"/>
          <w:highlight w:val="green"/>
        </w:rPr>
        <w:t>FSW</w:t>
      </w:r>
      <w:r w:rsidR="0036304C">
        <w:rPr>
          <w:sz w:val="20"/>
          <w:szCs w:val="20"/>
          <w:highlight w:val="green"/>
        </w:rPr>
        <w:t>)</w:t>
      </w:r>
      <w:r>
        <w:rPr>
          <w:sz w:val="20"/>
          <w:szCs w:val="20"/>
          <w:highlight w:val="green"/>
        </w:rPr>
        <w:t xml:space="preserve"> </w:t>
      </w:r>
      <w:r w:rsidR="0037734C">
        <w:rPr>
          <w:sz w:val="20"/>
          <w:szCs w:val="20"/>
          <w:highlight w:val="green"/>
        </w:rPr>
        <w:t xml:space="preserve">had highest prevalence </w:t>
      </w:r>
      <w:r w:rsidR="0036304C">
        <w:rPr>
          <w:sz w:val="20"/>
          <w:szCs w:val="20"/>
          <w:highlight w:val="green"/>
        </w:rPr>
        <w:t>and after 2004 MSM</w:t>
      </w:r>
      <w:r>
        <w:rPr>
          <w:sz w:val="20"/>
          <w:szCs w:val="20"/>
          <w:highlight w:val="green"/>
        </w:rPr>
        <w:t xml:space="preserve">. </w:t>
      </w:r>
      <w:r w:rsidR="0036304C">
        <w:rPr>
          <w:sz w:val="20"/>
          <w:szCs w:val="20"/>
          <w:highlight w:val="green"/>
        </w:rPr>
        <w:t>The number of incident cases in each of these groups is small</w:t>
      </w:r>
      <w:r w:rsidR="007A112D">
        <w:rPr>
          <w:sz w:val="20"/>
          <w:szCs w:val="20"/>
          <w:highlight w:val="green"/>
        </w:rPr>
        <w:t xml:space="preserve">, however, </w:t>
      </w:r>
      <w:r w:rsidR="0036304C">
        <w:rPr>
          <w:sz w:val="20"/>
          <w:szCs w:val="20"/>
          <w:highlight w:val="green"/>
        </w:rPr>
        <w:t>owing to their relatively small contribution to the total population</w:t>
      </w:r>
      <w:r>
        <w:rPr>
          <w:sz w:val="20"/>
          <w:szCs w:val="20"/>
          <w:highlight w:val="green"/>
        </w:rPr>
        <w:t xml:space="preserve">. </w:t>
      </w:r>
    </w:p>
    <w:p w14:paraId="1795739D" w14:textId="0C8E7269" w:rsidR="004E6DEE" w:rsidRDefault="004E6DEE" w:rsidP="00454D74">
      <w:pPr>
        <w:ind w:left="720"/>
        <w:rPr>
          <w:b/>
          <w:bCs/>
          <w:sz w:val="20"/>
          <w:szCs w:val="20"/>
        </w:rPr>
      </w:pPr>
    </w:p>
    <w:p w14:paraId="4FC7E469" w14:textId="77777777" w:rsidR="00A658CF" w:rsidRDefault="00A658CF" w:rsidP="00454D74">
      <w:pPr>
        <w:ind w:left="720"/>
        <w:rPr>
          <w:b/>
          <w:bCs/>
          <w:sz w:val="20"/>
          <w:szCs w:val="20"/>
        </w:rPr>
      </w:pPr>
    </w:p>
    <w:p w14:paraId="46E60D0A" w14:textId="31545D5C" w:rsidR="00A658CF" w:rsidRPr="004E6DEE" w:rsidRDefault="00A658CF" w:rsidP="00454D74">
      <w:pPr>
        <w:ind w:left="720"/>
        <w:rPr>
          <w:b/>
          <w:bCs/>
          <w:sz w:val="20"/>
          <w:szCs w:val="20"/>
        </w:rPr>
      </w:pPr>
      <w:r>
        <w:rPr>
          <w:b/>
          <w:bCs/>
          <w:sz w:val="20"/>
          <w:szCs w:val="20"/>
        </w:rPr>
        <w:t>Natural History Flow Chart, in the syphilis model:</w:t>
      </w:r>
    </w:p>
    <w:p w14:paraId="004EC2D1" w14:textId="0EE22B59" w:rsidR="004E6DEE" w:rsidRDefault="00DF220D">
      <w:pPr>
        <w:rPr>
          <w:b/>
          <w:bCs/>
          <w:sz w:val="20"/>
          <w:szCs w:val="20"/>
          <w:lang w:val="en-US"/>
        </w:rPr>
      </w:pPr>
      <w:r w:rsidRPr="00656D9C">
        <w:rPr>
          <w:noProof/>
        </w:rPr>
        <w:drawing>
          <wp:inline distT="0" distB="0" distL="0" distR="0" wp14:anchorId="533E98EE" wp14:editId="24A2A6B5">
            <wp:extent cx="5727700" cy="2683601"/>
            <wp:effectExtent l="0" t="0" r="635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683601"/>
                    </a:xfrm>
                    <a:prstGeom prst="rect">
                      <a:avLst/>
                    </a:prstGeom>
                    <a:noFill/>
                    <a:ln>
                      <a:noFill/>
                    </a:ln>
                  </pic:spPr>
                </pic:pic>
              </a:graphicData>
            </a:graphic>
          </wp:inline>
        </w:drawing>
      </w:r>
    </w:p>
    <w:p w14:paraId="15A5B4A6" w14:textId="77777777" w:rsidR="00DF220D" w:rsidRPr="003B18C1" w:rsidRDefault="00DF220D">
      <w:pPr>
        <w:rPr>
          <w:b/>
          <w:bCs/>
          <w:sz w:val="20"/>
          <w:szCs w:val="20"/>
          <w:lang w:val="en-US"/>
        </w:rPr>
      </w:pPr>
    </w:p>
    <w:tbl>
      <w:tblPr>
        <w:tblStyle w:val="TableGrid"/>
        <w:tblW w:w="0" w:type="auto"/>
        <w:tblInd w:w="-5" w:type="dxa"/>
        <w:tblLook w:val="04A0" w:firstRow="1" w:lastRow="0" w:firstColumn="1" w:lastColumn="0" w:noHBand="0" w:noVBand="1"/>
      </w:tblPr>
      <w:tblGrid>
        <w:gridCol w:w="9015"/>
      </w:tblGrid>
      <w:tr w:rsidR="006D1A6F" w:rsidRPr="00CF3455" w14:paraId="63BFD25D" w14:textId="77777777" w:rsidTr="006D1A6F">
        <w:tc>
          <w:tcPr>
            <w:tcW w:w="9015" w:type="dxa"/>
          </w:tcPr>
          <w:p w14:paraId="1000F998" w14:textId="40BB16B5" w:rsidR="006D1A6F" w:rsidRPr="006D1A6F" w:rsidRDefault="006D1A6F" w:rsidP="00116F1F">
            <w:pPr>
              <w:rPr>
                <w:b/>
                <w:bCs/>
                <w:sz w:val="20"/>
                <w:szCs w:val="20"/>
              </w:rPr>
            </w:pPr>
            <w:r w:rsidRPr="006D1A6F">
              <w:rPr>
                <w:b/>
                <w:bCs/>
                <w:sz w:val="20"/>
                <w:szCs w:val="20"/>
              </w:rPr>
              <w:t>Tip:</w:t>
            </w:r>
          </w:p>
          <w:p w14:paraId="4A777492" w14:textId="4797346F" w:rsidR="006D1A6F" w:rsidRPr="00CF3455" w:rsidRDefault="006D1A6F" w:rsidP="003B18C1">
            <w:pPr>
              <w:rPr>
                <w:sz w:val="20"/>
                <w:szCs w:val="20"/>
              </w:rPr>
            </w:pPr>
            <w:r w:rsidRPr="006D1A6F">
              <w:rPr>
                <w:sz w:val="20"/>
                <w:szCs w:val="20"/>
              </w:rPr>
              <w:t xml:space="preserve">The XLS has just 1 single </w:t>
            </w:r>
            <w:r w:rsidR="00C9740C">
              <w:rPr>
                <w:sz w:val="20"/>
                <w:szCs w:val="20"/>
              </w:rPr>
              <w:t>graph</w:t>
            </w:r>
            <w:r w:rsidR="008E15E5">
              <w:rPr>
                <w:sz w:val="20"/>
                <w:szCs w:val="20"/>
              </w:rPr>
              <w:t>,</w:t>
            </w:r>
            <w:r w:rsidRPr="006D1A6F">
              <w:rPr>
                <w:sz w:val="20"/>
                <w:szCs w:val="20"/>
              </w:rPr>
              <w:t xml:space="preserve"> </w:t>
            </w:r>
            <w:r w:rsidR="008E15E5">
              <w:rPr>
                <w:sz w:val="20"/>
                <w:szCs w:val="20"/>
              </w:rPr>
              <w:t>which</w:t>
            </w:r>
            <w:r w:rsidRPr="006D1A6F">
              <w:rPr>
                <w:sz w:val="20"/>
                <w:szCs w:val="20"/>
              </w:rPr>
              <w:t xml:space="preserve"> adapts with the user-selected indicator, population groups and years. If you want to </w:t>
            </w:r>
            <w:r w:rsidR="002E54E2">
              <w:rPr>
                <w:sz w:val="20"/>
                <w:szCs w:val="20"/>
              </w:rPr>
              <w:t>save</w:t>
            </w:r>
            <w:r w:rsidR="002E54E2" w:rsidRPr="006D1A6F">
              <w:rPr>
                <w:sz w:val="20"/>
                <w:szCs w:val="20"/>
              </w:rPr>
              <w:t xml:space="preserve"> </w:t>
            </w:r>
            <w:r w:rsidRPr="006D1A6F">
              <w:rPr>
                <w:sz w:val="20"/>
                <w:szCs w:val="20"/>
              </w:rPr>
              <w:t xml:space="preserve">a </w:t>
            </w:r>
            <w:r w:rsidR="00C9740C">
              <w:rPr>
                <w:sz w:val="20"/>
                <w:szCs w:val="20"/>
              </w:rPr>
              <w:t>graph</w:t>
            </w:r>
            <w:r w:rsidR="008E15E5">
              <w:rPr>
                <w:sz w:val="20"/>
                <w:szCs w:val="20"/>
              </w:rPr>
              <w:t xml:space="preserve"> before producing a next one</w:t>
            </w:r>
            <w:r w:rsidR="007531ED">
              <w:rPr>
                <w:sz w:val="20"/>
                <w:szCs w:val="20"/>
              </w:rPr>
              <w:t xml:space="preserve">, </w:t>
            </w:r>
            <w:r w:rsidR="00457375">
              <w:rPr>
                <w:sz w:val="20"/>
                <w:szCs w:val="20"/>
              </w:rPr>
              <w:t xml:space="preserve">copy </w:t>
            </w:r>
            <w:r w:rsidR="007531ED">
              <w:rPr>
                <w:sz w:val="20"/>
                <w:szCs w:val="20"/>
              </w:rPr>
              <w:t xml:space="preserve">it </w:t>
            </w:r>
            <w:r w:rsidR="003B18C1">
              <w:rPr>
                <w:sz w:val="20"/>
                <w:szCs w:val="20"/>
              </w:rPr>
              <w:t>(C</w:t>
            </w:r>
            <w:r w:rsidR="003535E7">
              <w:rPr>
                <w:sz w:val="20"/>
                <w:szCs w:val="20"/>
              </w:rPr>
              <w:t>o</w:t>
            </w:r>
            <w:r w:rsidR="003B18C1">
              <w:rPr>
                <w:sz w:val="20"/>
                <w:szCs w:val="20"/>
              </w:rPr>
              <w:t>ntr</w:t>
            </w:r>
            <w:r w:rsidR="003535E7">
              <w:rPr>
                <w:sz w:val="20"/>
                <w:szCs w:val="20"/>
              </w:rPr>
              <w:t>o</w:t>
            </w:r>
            <w:r w:rsidR="003B18C1">
              <w:rPr>
                <w:sz w:val="20"/>
                <w:szCs w:val="20"/>
              </w:rPr>
              <w:t>l</w:t>
            </w:r>
            <w:r w:rsidR="00AF7D63">
              <w:rPr>
                <w:sz w:val="20"/>
                <w:szCs w:val="20"/>
              </w:rPr>
              <w:t xml:space="preserve"> </w:t>
            </w:r>
            <w:r w:rsidR="003B18C1">
              <w:rPr>
                <w:sz w:val="20"/>
                <w:szCs w:val="20"/>
              </w:rPr>
              <w:t>+</w:t>
            </w:r>
            <w:r w:rsidR="00AF7D63">
              <w:rPr>
                <w:sz w:val="20"/>
                <w:szCs w:val="20"/>
              </w:rPr>
              <w:t xml:space="preserve"> </w:t>
            </w:r>
            <w:r w:rsidR="003B18C1">
              <w:rPr>
                <w:sz w:val="20"/>
                <w:szCs w:val="20"/>
              </w:rPr>
              <w:t xml:space="preserve">Copy) </w:t>
            </w:r>
            <w:r w:rsidR="002E54E2">
              <w:rPr>
                <w:sz w:val="20"/>
                <w:szCs w:val="20"/>
              </w:rPr>
              <w:t xml:space="preserve">and </w:t>
            </w:r>
            <w:r w:rsidR="003B18C1">
              <w:rPr>
                <w:sz w:val="20"/>
                <w:szCs w:val="20"/>
              </w:rPr>
              <w:t xml:space="preserve">paste using </w:t>
            </w:r>
            <w:r w:rsidR="003B18C1" w:rsidRPr="008E15E5">
              <w:rPr>
                <w:i/>
                <w:iCs/>
                <w:sz w:val="20"/>
                <w:szCs w:val="20"/>
              </w:rPr>
              <w:t>Paste-Special</w:t>
            </w:r>
            <w:r w:rsidR="003B18C1">
              <w:rPr>
                <w:sz w:val="20"/>
                <w:szCs w:val="20"/>
              </w:rPr>
              <w:t xml:space="preserve">, selecting format: </w:t>
            </w:r>
            <w:r w:rsidR="003B18C1" w:rsidRPr="007531ED">
              <w:rPr>
                <w:i/>
                <w:iCs/>
                <w:sz w:val="20"/>
                <w:szCs w:val="20"/>
              </w:rPr>
              <w:t>Enhanced meta-</w:t>
            </w:r>
            <w:r w:rsidR="0036304C" w:rsidRPr="00CD6C52">
              <w:rPr>
                <w:i/>
                <w:iCs/>
                <w:sz w:val="20"/>
                <w:szCs w:val="20"/>
              </w:rPr>
              <w:t>fil</w:t>
            </w:r>
            <w:r w:rsidR="0036304C">
              <w:rPr>
                <w:i/>
                <w:iCs/>
                <w:sz w:val="20"/>
                <w:szCs w:val="20"/>
              </w:rPr>
              <w:t xml:space="preserve">e, </w:t>
            </w:r>
            <w:r w:rsidR="0036304C" w:rsidRPr="007A112D">
              <w:rPr>
                <w:i/>
                <w:iCs/>
                <w:sz w:val="20"/>
                <w:szCs w:val="20"/>
              </w:rPr>
              <w:t xml:space="preserve">TIFF </w:t>
            </w:r>
            <w:r w:rsidR="0036304C" w:rsidRPr="00CD6C52">
              <w:rPr>
                <w:sz w:val="20"/>
                <w:szCs w:val="20"/>
              </w:rPr>
              <w:t>or</w:t>
            </w:r>
            <w:r w:rsidR="0036304C" w:rsidRPr="007A112D">
              <w:rPr>
                <w:i/>
                <w:iCs/>
                <w:sz w:val="20"/>
                <w:szCs w:val="20"/>
              </w:rPr>
              <w:t xml:space="preserve"> PDF</w:t>
            </w:r>
            <w:r w:rsidR="007504ED">
              <w:rPr>
                <w:sz w:val="20"/>
                <w:szCs w:val="20"/>
              </w:rPr>
              <w:t xml:space="preserve"> into a</w:t>
            </w:r>
            <w:r w:rsidR="008E15E5">
              <w:rPr>
                <w:sz w:val="20"/>
                <w:szCs w:val="20"/>
              </w:rPr>
              <w:t xml:space="preserve"> new</w:t>
            </w:r>
            <w:r w:rsidR="007504ED">
              <w:rPr>
                <w:sz w:val="20"/>
                <w:szCs w:val="20"/>
              </w:rPr>
              <w:t xml:space="preserve"> </w:t>
            </w:r>
            <w:r w:rsidR="008E15E5">
              <w:rPr>
                <w:sz w:val="20"/>
                <w:szCs w:val="20"/>
              </w:rPr>
              <w:t>E</w:t>
            </w:r>
            <w:r w:rsidR="007504ED">
              <w:rPr>
                <w:sz w:val="20"/>
                <w:szCs w:val="20"/>
              </w:rPr>
              <w:t>xcel sheet, or into Word or Powerpoint</w:t>
            </w:r>
            <w:r w:rsidR="003B18C1">
              <w:rPr>
                <w:sz w:val="20"/>
                <w:szCs w:val="20"/>
              </w:rPr>
              <w:t xml:space="preserve">. In </w:t>
            </w:r>
            <w:r w:rsidR="007504ED">
              <w:rPr>
                <w:sz w:val="20"/>
                <w:szCs w:val="20"/>
              </w:rPr>
              <w:t xml:space="preserve">this </w:t>
            </w:r>
            <w:r w:rsidR="003B18C1">
              <w:rPr>
                <w:sz w:val="20"/>
                <w:szCs w:val="20"/>
              </w:rPr>
              <w:t xml:space="preserve">format, the graph will be frozen. </w:t>
            </w:r>
          </w:p>
        </w:tc>
      </w:tr>
    </w:tbl>
    <w:p w14:paraId="392DC221" w14:textId="2B7D3A4A" w:rsidR="006D1A6F" w:rsidRDefault="006D1A6F">
      <w:pPr>
        <w:rPr>
          <w:sz w:val="20"/>
          <w:szCs w:val="20"/>
        </w:rPr>
      </w:pPr>
    </w:p>
    <w:p w14:paraId="7E31FB9A" w14:textId="77777777" w:rsidR="006D1A6F" w:rsidRPr="00CF3455" w:rsidRDefault="006D1A6F">
      <w:pPr>
        <w:rPr>
          <w:sz w:val="20"/>
          <w:szCs w:val="20"/>
        </w:rPr>
      </w:pPr>
    </w:p>
    <w:p w14:paraId="4955BDD6" w14:textId="77777777" w:rsidR="0043762E" w:rsidRDefault="0039515F" w:rsidP="0043762E">
      <w:pPr>
        <w:rPr>
          <w:rFonts w:cs="Times New Roman (Body CS)"/>
          <w:b/>
          <w:bCs/>
          <w:smallCaps/>
          <w:color w:val="0070C0"/>
          <w:sz w:val="28"/>
          <w:szCs w:val="28"/>
        </w:rPr>
      </w:pPr>
      <w:r w:rsidRPr="00B55BE7">
        <w:rPr>
          <w:rFonts w:cs="Times New Roman (Body CS)"/>
          <w:b/>
          <w:bCs/>
          <w:smallCaps/>
          <w:color w:val="0070C0"/>
          <w:sz w:val="28"/>
          <w:szCs w:val="28"/>
        </w:rPr>
        <w:t xml:space="preserve">Exercise </w:t>
      </w:r>
      <w:r w:rsidR="003B18C1">
        <w:rPr>
          <w:rFonts w:cs="Times New Roman (Body CS)"/>
          <w:b/>
          <w:bCs/>
          <w:smallCaps/>
          <w:color w:val="0070C0"/>
          <w:sz w:val="28"/>
          <w:szCs w:val="28"/>
        </w:rPr>
        <w:t>2</w:t>
      </w:r>
      <w:r w:rsidR="00A226DF" w:rsidRPr="00B55BE7">
        <w:rPr>
          <w:rFonts w:cs="Times New Roman (Body CS)"/>
          <w:b/>
          <w:bCs/>
          <w:smallCaps/>
          <w:color w:val="0070C0"/>
          <w:sz w:val="28"/>
          <w:szCs w:val="28"/>
        </w:rPr>
        <w:t xml:space="preserve">: </w:t>
      </w:r>
      <w:r w:rsidR="003B18C1">
        <w:rPr>
          <w:rFonts w:cs="Times New Roman (Body CS)"/>
          <w:b/>
          <w:bCs/>
          <w:smallCaps/>
          <w:color w:val="0070C0"/>
          <w:sz w:val="28"/>
          <w:szCs w:val="28"/>
        </w:rPr>
        <w:t xml:space="preserve">Review and adapt the Summary Results table </w:t>
      </w:r>
    </w:p>
    <w:p w14:paraId="09508862" w14:textId="77777777" w:rsidR="0043762E" w:rsidRDefault="0043762E" w:rsidP="0043762E">
      <w:pPr>
        <w:rPr>
          <w:rFonts w:cs="Times New Roman (Body CS)"/>
          <w:b/>
          <w:bCs/>
          <w:smallCaps/>
          <w:color w:val="0070C0"/>
          <w:sz w:val="28"/>
          <w:szCs w:val="28"/>
        </w:rPr>
      </w:pPr>
    </w:p>
    <w:p w14:paraId="3AEC6EA1" w14:textId="79609567" w:rsidR="0043762E" w:rsidRPr="0043762E" w:rsidRDefault="0043762E" w:rsidP="0043762E">
      <w:pPr>
        <w:rPr>
          <w:rFonts w:cs="Times New Roman (Body CS)"/>
          <w:b/>
          <w:bCs/>
          <w:smallCaps/>
          <w:color w:val="0070C0"/>
          <w:sz w:val="28"/>
          <w:szCs w:val="28"/>
        </w:rPr>
      </w:pPr>
      <w:r>
        <w:rPr>
          <w:sz w:val="20"/>
          <w:szCs w:val="20"/>
        </w:rPr>
        <w:t>To start t</w:t>
      </w:r>
      <w:r w:rsidRPr="00CF3455">
        <w:rPr>
          <w:sz w:val="20"/>
          <w:szCs w:val="20"/>
        </w:rPr>
        <w:t>his exercise</w:t>
      </w:r>
      <w:r>
        <w:rPr>
          <w:sz w:val="20"/>
          <w:szCs w:val="20"/>
        </w:rPr>
        <w:t xml:space="preserve">, please open in Excel </w:t>
      </w:r>
      <w:r w:rsidRPr="00CF3455">
        <w:rPr>
          <w:sz w:val="20"/>
          <w:szCs w:val="20"/>
        </w:rPr>
        <w:t>the training ex</w:t>
      </w:r>
      <w:r>
        <w:rPr>
          <w:sz w:val="20"/>
          <w:szCs w:val="20"/>
        </w:rPr>
        <w:t xml:space="preserve">ample country output file: </w:t>
      </w:r>
    </w:p>
    <w:p w14:paraId="58E9E032" w14:textId="4578D7B0" w:rsidR="00BF7A1E" w:rsidRPr="00C87BE8" w:rsidRDefault="00BF7A1E" w:rsidP="00BF7A1E">
      <w:pPr>
        <w:rPr>
          <w:b/>
          <w:bCs/>
          <w:i/>
          <w:iCs/>
          <w:sz w:val="20"/>
          <w:szCs w:val="20"/>
          <w:lang w:val="fr-CH"/>
        </w:rPr>
      </w:pPr>
      <w:r w:rsidRPr="00C87BE8">
        <w:rPr>
          <w:b/>
          <w:bCs/>
          <w:i/>
          <w:iCs/>
          <w:sz w:val="20"/>
          <w:szCs w:val="20"/>
          <w:lang w:val="fr-CH"/>
        </w:rPr>
        <w:t>Syphilis SITE model_User interface OUTPUT_2</w:t>
      </w:r>
      <w:r w:rsidR="0004417B">
        <w:rPr>
          <w:b/>
          <w:bCs/>
          <w:i/>
          <w:iCs/>
          <w:sz w:val="20"/>
          <w:szCs w:val="20"/>
          <w:lang w:val="fr-CH"/>
        </w:rPr>
        <w:t>9</w:t>
      </w:r>
      <w:r w:rsidRPr="00C87BE8">
        <w:rPr>
          <w:b/>
          <w:bCs/>
          <w:i/>
          <w:iCs/>
          <w:sz w:val="20"/>
          <w:szCs w:val="20"/>
          <w:lang w:val="fr-CH"/>
        </w:rPr>
        <w:t>June2020.xlsx.</w:t>
      </w:r>
    </w:p>
    <w:p w14:paraId="7CF98102" w14:textId="6B3D2AA8" w:rsidR="003B18C1" w:rsidRPr="00C87BE8" w:rsidRDefault="003B18C1" w:rsidP="003B18C1">
      <w:pPr>
        <w:rPr>
          <w:sz w:val="20"/>
          <w:szCs w:val="20"/>
          <w:lang w:val="fr-CH"/>
        </w:rPr>
      </w:pPr>
    </w:p>
    <w:p w14:paraId="249A64E5" w14:textId="78F0D58E" w:rsidR="00717CB7" w:rsidRDefault="0043762E" w:rsidP="003B18C1">
      <w:pPr>
        <w:rPr>
          <w:sz w:val="20"/>
          <w:szCs w:val="20"/>
        </w:rPr>
      </w:pPr>
      <w:r>
        <w:rPr>
          <w:sz w:val="20"/>
          <w:szCs w:val="20"/>
        </w:rPr>
        <w:t xml:space="preserve">The worksheet </w:t>
      </w:r>
      <w:proofErr w:type="spellStart"/>
      <w:r w:rsidRPr="003B18C1">
        <w:rPr>
          <w:b/>
          <w:bCs/>
          <w:i/>
          <w:iCs/>
          <w:sz w:val="20"/>
          <w:szCs w:val="20"/>
        </w:rPr>
        <w:t>Summary+Cost-Effect</w:t>
      </w:r>
      <w:proofErr w:type="spellEnd"/>
      <w:r>
        <w:rPr>
          <w:sz w:val="20"/>
          <w:szCs w:val="20"/>
        </w:rPr>
        <w:t xml:space="preserve"> provides a summary of the results</w:t>
      </w:r>
      <w:r w:rsidR="00717CB7">
        <w:rPr>
          <w:sz w:val="20"/>
          <w:szCs w:val="20"/>
        </w:rPr>
        <w:t xml:space="preserve"> for a specific user</w:t>
      </w:r>
      <w:r w:rsidR="00A658CF">
        <w:rPr>
          <w:sz w:val="20"/>
          <w:szCs w:val="20"/>
        </w:rPr>
        <w:t>-</w:t>
      </w:r>
      <w:r w:rsidR="00717CB7">
        <w:rPr>
          <w:sz w:val="20"/>
          <w:szCs w:val="20"/>
        </w:rPr>
        <w:t>defined year</w:t>
      </w:r>
      <w:r>
        <w:rPr>
          <w:sz w:val="20"/>
          <w:szCs w:val="20"/>
        </w:rPr>
        <w:t xml:space="preserve">. </w:t>
      </w:r>
      <w:r w:rsidR="00717CB7">
        <w:rPr>
          <w:sz w:val="20"/>
          <w:szCs w:val="20"/>
        </w:rPr>
        <w:t>Please note, that “</w:t>
      </w:r>
      <w:r w:rsidR="00717CB7" w:rsidRPr="003B18C1">
        <w:rPr>
          <w:sz w:val="20"/>
          <w:szCs w:val="20"/>
        </w:rPr>
        <w:t>Number Screened with RPR</w:t>
      </w:r>
      <w:r w:rsidR="00717CB7">
        <w:rPr>
          <w:sz w:val="20"/>
          <w:szCs w:val="20"/>
        </w:rPr>
        <w:t>’ is the number of people screened with RPR only or with a RPR + TPHA combined algorithm as, in the model all compartments positive on RPR (</w:t>
      </w:r>
      <w:r w:rsidR="00EE530F">
        <w:rPr>
          <w:sz w:val="20"/>
          <w:szCs w:val="20"/>
        </w:rPr>
        <w:t xml:space="preserve">Compartments </w:t>
      </w:r>
      <w:r w:rsidR="00717CB7">
        <w:rPr>
          <w:sz w:val="20"/>
          <w:szCs w:val="20"/>
        </w:rPr>
        <w:t>2, 3, 4 and 5 in the Natural History Flow Chart) are also TPHA-positive.</w:t>
      </w:r>
    </w:p>
    <w:p w14:paraId="72C66548" w14:textId="77777777" w:rsidR="00717CB7" w:rsidRDefault="00717CB7" w:rsidP="003B18C1">
      <w:pPr>
        <w:rPr>
          <w:sz w:val="20"/>
          <w:szCs w:val="20"/>
        </w:rPr>
      </w:pPr>
    </w:p>
    <w:p w14:paraId="512B3B1D" w14:textId="2019AEAA" w:rsidR="003B18C1" w:rsidRDefault="003B18C1" w:rsidP="003B18C1">
      <w:pPr>
        <w:rPr>
          <w:sz w:val="20"/>
          <w:szCs w:val="20"/>
        </w:rPr>
      </w:pPr>
      <w:r>
        <w:rPr>
          <w:sz w:val="20"/>
          <w:szCs w:val="20"/>
        </w:rPr>
        <w:t xml:space="preserve">2.1 </w:t>
      </w:r>
      <w:r w:rsidRPr="003B18C1">
        <w:rPr>
          <w:sz w:val="20"/>
          <w:szCs w:val="20"/>
        </w:rPr>
        <w:t xml:space="preserve">In sheet </w:t>
      </w:r>
      <w:proofErr w:type="spellStart"/>
      <w:r w:rsidRPr="003B18C1">
        <w:rPr>
          <w:b/>
          <w:bCs/>
          <w:i/>
          <w:iCs/>
          <w:sz w:val="20"/>
          <w:szCs w:val="20"/>
        </w:rPr>
        <w:t>Summary+Cost-Effect</w:t>
      </w:r>
      <w:proofErr w:type="spellEnd"/>
      <w:r w:rsidRPr="003B18C1">
        <w:rPr>
          <w:sz w:val="20"/>
          <w:szCs w:val="20"/>
        </w:rPr>
        <w:t xml:space="preserve">, </w:t>
      </w:r>
      <w:r w:rsidR="00717CB7">
        <w:rPr>
          <w:sz w:val="20"/>
          <w:szCs w:val="20"/>
        </w:rPr>
        <w:t xml:space="preserve">set the Year to 2019 (Cell C1) and </w:t>
      </w:r>
      <w:r>
        <w:rPr>
          <w:sz w:val="20"/>
          <w:szCs w:val="20"/>
        </w:rPr>
        <w:t>review results</w:t>
      </w:r>
      <w:r w:rsidR="009F0954">
        <w:rPr>
          <w:sz w:val="20"/>
          <w:szCs w:val="20"/>
        </w:rPr>
        <w:t>.</w:t>
      </w:r>
    </w:p>
    <w:p w14:paraId="4F6E0EE7" w14:textId="77777777" w:rsidR="003B18C1" w:rsidRDefault="003B18C1" w:rsidP="003B18C1">
      <w:pPr>
        <w:rPr>
          <w:sz w:val="20"/>
          <w:szCs w:val="20"/>
        </w:rPr>
      </w:pPr>
    </w:p>
    <w:p w14:paraId="12497284" w14:textId="4055FD42" w:rsidR="003B18C1" w:rsidRDefault="003B18C1" w:rsidP="003B18C1">
      <w:pPr>
        <w:rPr>
          <w:sz w:val="20"/>
          <w:szCs w:val="20"/>
        </w:rPr>
      </w:pPr>
      <w:r>
        <w:rPr>
          <w:sz w:val="20"/>
          <w:szCs w:val="20"/>
        </w:rPr>
        <w:lastRenderedPageBreak/>
        <w:t xml:space="preserve">2.2 Change the </w:t>
      </w:r>
      <w:r w:rsidR="0043762E">
        <w:rPr>
          <w:sz w:val="20"/>
          <w:szCs w:val="20"/>
        </w:rPr>
        <w:t>Y</w:t>
      </w:r>
      <w:r>
        <w:rPr>
          <w:sz w:val="20"/>
          <w:szCs w:val="20"/>
        </w:rPr>
        <w:t xml:space="preserve">ear </w:t>
      </w:r>
      <w:r w:rsidR="0043762E">
        <w:rPr>
          <w:sz w:val="20"/>
          <w:szCs w:val="20"/>
        </w:rPr>
        <w:t xml:space="preserve">to </w:t>
      </w:r>
      <w:r>
        <w:rPr>
          <w:sz w:val="20"/>
          <w:szCs w:val="20"/>
        </w:rPr>
        <w:t>2010 (</w:t>
      </w:r>
      <w:r w:rsidR="0043762E">
        <w:rPr>
          <w:sz w:val="20"/>
          <w:szCs w:val="20"/>
        </w:rPr>
        <w:t>C</w:t>
      </w:r>
      <w:r>
        <w:rPr>
          <w:sz w:val="20"/>
          <w:szCs w:val="20"/>
        </w:rPr>
        <w:t>ell C1)</w:t>
      </w:r>
      <w:r w:rsidR="0043762E">
        <w:rPr>
          <w:sz w:val="20"/>
          <w:szCs w:val="20"/>
        </w:rPr>
        <w:t xml:space="preserve"> and review the results again</w:t>
      </w:r>
      <w:r>
        <w:rPr>
          <w:sz w:val="20"/>
          <w:szCs w:val="20"/>
        </w:rPr>
        <w:t xml:space="preserve">. </w:t>
      </w:r>
      <w:r w:rsidR="00931FA6">
        <w:rPr>
          <w:sz w:val="20"/>
          <w:szCs w:val="20"/>
        </w:rPr>
        <w:br/>
      </w:r>
    </w:p>
    <w:p w14:paraId="00BC0ADC" w14:textId="1C71FBFA" w:rsidR="003B18C1" w:rsidRDefault="007A112D" w:rsidP="00931FA6">
      <w:pPr>
        <w:ind w:firstLine="720"/>
        <w:rPr>
          <w:sz w:val="20"/>
          <w:szCs w:val="20"/>
        </w:rPr>
      </w:pPr>
      <w:r>
        <w:rPr>
          <w:sz w:val="20"/>
          <w:szCs w:val="20"/>
        </w:rPr>
        <w:t xml:space="preserve">Q2A. </w:t>
      </w:r>
      <w:r w:rsidR="003B18C1">
        <w:rPr>
          <w:sz w:val="20"/>
          <w:szCs w:val="20"/>
        </w:rPr>
        <w:t>Which indicators change</w:t>
      </w:r>
      <w:r w:rsidR="00931FA6">
        <w:rPr>
          <w:sz w:val="20"/>
          <w:szCs w:val="20"/>
        </w:rPr>
        <w:t xml:space="preserve"> most markedly</w:t>
      </w:r>
      <w:r w:rsidR="003B18C1">
        <w:rPr>
          <w:sz w:val="20"/>
          <w:szCs w:val="20"/>
        </w:rPr>
        <w:t xml:space="preserve">, </w:t>
      </w:r>
      <w:r>
        <w:rPr>
          <w:sz w:val="20"/>
          <w:szCs w:val="20"/>
        </w:rPr>
        <w:t>and in what direction</w:t>
      </w:r>
      <w:r w:rsidR="003B18C1">
        <w:rPr>
          <w:sz w:val="20"/>
          <w:szCs w:val="20"/>
        </w:rPr>
        <w:t xml:space="preserve">? </w:t>
      </w:r>
    </w:p>
    <w:p w14:paraId="10469AF9" w14:textId="1348B10B" w:rsidR="00931FA6" w:rsidRPr="00931FA6" w:rsidRDefault="007A112D" w:rsidP="00931FA6">
      <w:pPr>
        <w:ind w:firstLine="720"/>
        <w:rPr>
          <w:sz w:val="20"/>
          <w:szCs w:val="20"/>
          <w:highlight w:val="green"/>
        </w:rPr>
      </w:pPr>
      <w:r w:rsidRPr="00931FA6">
        <w:rPr>
          <w:sz w:val="20"/>
          <w:szCs w:val="20"/>
          <w:highlight w:val="green"/>
        </w:rPr>
        <w:t xml:space="preserve">Answer to Q2A. Contacts traced and diagnosed, in this projection started post-2010. </w:t>
      </w:r>
    </w:p>
    <w:p w14:paraId="2C8C8A10" w14:textId="6F48363F" w:rsidR="00C2551A" w:rsidRDefault="00931FA6" w:rsidP="00C2551A">
      <w:pPr>
        <w:rPr>
          <w:sz w:val="20"/>
          <w:szCs w:val="20"/>
        </w:rPr>
      </w:pPr>
      <w:r w:rsidRPr="00931FA6">
        <w:rPr>
          <w:sz w:val="20"/>
          <w:szCs w:val="20"/>
          <w:highlight w:val="green"/>
        </w:rPr>
        <w:t>Popul</w:t>
      </w:r>
      <w:r>
        <w:rPr>
          <w:sz w:val="20"/>
          <w:szCs w:val="20"/>
          <w:highlight w:val="green"/>
        </w:rPr>
        <w:t>a</w:t>
      </w:r>
      <w:r w:rsidRPr="00931FA6">
        <w:rPr>
          <w:sz w:val="20"/>
          <w:szCs w:val="20"/>
          <w:highlight w:val="green"/>
        </w:rPr>
        <w:t>tion numbers increase, due to population growth; prevalence and incidence (rates and incident case number) decreased from 2010 to 2019, as does the number of cases clinically treated.</w:t>
      </w:r>
    </w:p>
    <w:p w14:paraId="73AFBB52" w14:textId="77777777" w:rsidR="00C2551A" w:rsidRDefault="00C2551A" w:rsidP="00C2551A">
      <w:pPr>
        <w:rPr>
          <w:sz w:val="20"/>
          <w:szCs w:val="20"/>
        </w:rPr>
      </w:pPr>
    </w:p>
    <w:p w14:paraId="2AC4AA9A" w14:textId="4E784BF8" w:rsidR="003B18C1" w:rsidRPr="00A658CF" w:rsidRDefault="003B18C1" w:rsidP="003B18C1">
      <w:pPr>
        <w:rPr>
          <w:b/>
          <w:bCs/>
          <w:i/>
          <w:iCs/>
          <w:sz w:val="20"/>
          <w:szCs w:val="20"/>
        </w:rPr>
      </w:pPr>
      <w:r>
        <w:rPr>
          <w:sz w:val="20"/>
          <w:szCs w:val="20"/>
        </w:rPr>
        <w:t xml:space="preserve">2.3 </w:t>
      </w:r>
      <w:r w:rsidR="0043762E">
        <w:rPr>
          <w:sz w:val="20"/>
          <w:szCs w:val="20"/>
        </w:rPr>
        <w:t>Look at the</w:t>
      </w:r>
      <w:r w:rsidR="009F0954">
        <w:rPr>
          <w:sz w:val="20"/>
          <w:szCs w:val="20"/>
        </w:rPr>
        <w:t xml:space="preserve"> numbers screened</w:t>
      </w:r>
      <w:r w:rsidR="0043762E">
        <w:rPr>
          <w:sz w:val="20"/>
          <w:szCs w:val="20"/>
        </w:rPr>
        <w:t xml:space="preserve"> (K3-K16)</w:t>
      </w:r>
      <w:r w:rsidR="009F0954">
        <w:rPr>
          <w:sz w:val="20"/>
          <w:szCs w:val="20"/>
        </w:rPr>
        <w:t xml:space="preserve"> and number diagnosed positive on screening with RPR</w:t>
      </w:r>
      <w:r w:rsidR="0043762E">
        <w:rPr>
          <w:sz w:val="20"/>
          <w:szCs w:val="20"/>
        </w:rPr>
        <w:t xml:space="preserve"> (</w:t>
      </w:r>
      <w:r w:rsidR="009F0954">
        <w:rPr>
          <w:sz w:val="20"/>
          <w:szCs w:val="20"/>
        </w:rPr>
        <w:t>L3-L16</w:t>
      </w:r>
      <w:r w:rsidR="0043762E">
        <w:rPr>
          <w:sz w:val="20"/>
          <w:szCs w:val="20"/>
        </w:rPr>
        <w:t>)</w:t>
      </w:r>
      <w:r w:rsidR="009F0954">
        <w:rPr>
          <w:sz w:val="20"/>
          <w:szCs w:val="20"/>
        </w:rPr>
        <w:t xml:space="preserve">. </w:t>
      </w:r>
      <w:r w:rsidR="0043762E">
        <w:rPr>
          <w:sz w:val="20"/>
          <w:szCs w:val="20"/>
        </w:rPr>
        <w:t xml:space="preserve">Now </w:t>
      </w:r>
      <w:r>
        <w:rPr>
          <w:sz w:val="20"/>
          <w:szCs w:val="20"/>
        </w:rPr>
        <w:t xml:space="preserve">change the indicator from </w:t>
      </w:r>
      <w:r w:rsidR="009F0954">
        <w:rPr>
          <w:sz w:val="20"/>
          <w:szCs w:val="20"/>
        </w:rPr>
        <w:t>‘</w:t>
      </w:r>
      <w:r w:rsidRPr="00A658CF">
        <w:rPr>
          <w:b/>
          <w:bCs/>
          <w:i/>
          <w:iCs/>
          <w:sz w:val="20"/>
          <w:szCs w:val="20"/>
        </w:rPr>
        <w:t>Number Screened with RPR</w:t>
      </w:r>
      <w:r w:rsidR="009F0954" w:rsidRPr="00A658CF">
        <w:rPr>
          <w:b/>
          <w:bCs/>
          <w:i/>
          <w:iCs/>
          <w:sz w:val="20"/>
          <w:szCs w:val="20"/>
        </w:rPr>
        <w:t>’</w:t>
      </w:r>
      <w:r w:rsidRPr="00A658CF">
        <w:rPr>
          <w:i/>
          <w:iCs/>
          <w:sz w:val="20"/>
          <w:szCs w:val="20"/>
        </w:rPr>
        <w:t xml:space="preserve"> </w:t>
      </w:r>
      <w:r w:rsidR="0043762E">
        <w:rPr>
          <w:sz w:val="20"/>
          <w:szCs w:val="20"/>
        </w:rPr>
        <w:t xml:space="preserve">(Cell K2) using the drop down menu </w:t>
      </w:r>
      <w:r>
        <w:rPr>
          <w:sz w:val="20"/>
          <w:szCs w:val="20"/>
        </w:rPr>
        <w:t xml:space="preserve">into </w:t>
      </w:r>
      <w:r w:rsidR="009F0954" w:rsidRPr="00A658CF">
        <w:rPr>
          <w:i/>
          <w:iCs/>
          <w:sz w:val="20"/>
          <w:szCs w:val="20"/>
        </w:rPr>
        <w:t>‘</w:t>
      </w:r>
      <w:r w:rsidRPr="00A658CF">
        <w:rPr>
          <w:b/>
          <w:bCs/>
          <w:i/>
          <w:iCs/>
          <w:sz w:val="20"/>
          <w:szCs w:val="20"/>
        </w:rPr>
        <w:t>Number Screened with TPHA only</w:t>
      </w:r>
      <w:r w:rsidR="009F0954" w:rsidRPr="00A658CF">
        <w:rPr>
          <w:b/>
          <w:bCs/>
          <w:sz w:val="20"/>
          <w:szCs w:val="20"/>
        </w:rPr>
        <w:t>’</w:t>
      </w:r>
      <w:r w:rsidR="00A658CF">
        <w:rPr>
          <w:sz w:val="20"/>
          <w:szCs w:val="20"/>
        </w:rPr>
        <w:t>. Also</w:t>
      </w:r>
      <w:r w:rsidR="009F0954">
        <w:rPr>
          <w:sz w:val="20"/>
          <w:szCs w:val="20"/>
        </w:rPr>
        <w:t xml:space="preserve"> </w:t>
      </w:r>
      <w:r>
        <w:rPr>
          <w:sz w:val="20"/>
          <w:szCs w:val="20"/>
        </w:rPr>
        <w:t xml:space="preserve">change </w:t>
      </w:r>
      <w:r w:rsidR="0043762E">
        <w:rPr>
          <w:sz w:val="20"/>
          <w:szCs w:val="20"/>
        </w:rPr>
        <w:t>the</w:t>
      </w:r>
      <w:r>
        <w:rPr>
          <w:sz w:val="20"/>
          <w:szCs w:val="20"/>
        </w:rPr>
        <w:t xml:space="preserve"> </w:t>
      </w:r>
      <w:r w:rsidR="009F0954">
        <w:rPr>
          <w:sz w:val="20"/>
          <w:szCs w:val="20"/>
        </w:rPr>
        <w:t>‘</w:t>
      </w:r>
      <w:r w:rsidRPr="00A658CF">
        <w:rPr>
          <w:b/>
          <w:bCs/>
          <w:i/>
          <w:iCs/>
          <w:sz w:val="20"/>
          <w:szCs w:val="20"/>
        </w:rPr>
        <w:t xml:space="preserve">Number Screened </w:t>
      </w:r>
      <w:r w:rsidR="004E6DEE" w:rsidRPr="00A658CF">
        <w:rPr>
          <w:b/>
          <w:bCs/>
          <w:i/>
          <w:iCs/>
          <w:sz w:val="20"/>
          <w:szCs w:val="20"/>
        </w:rPr>
        <w:t xml:space="preserve">Positive </w:t>
      </w:r>
      <w:r w:rsidRPr="00A658CF">
        <w:rPr>
          <w:b/>
          <w:bCs/>
          <w:i/>
          <w:iCs/>
          <w:sz w:val="20"/>
          <w:szCs w:val="20"/>
        </w:rPr>
        <w:t>with RPR</w:t>
      </w:r>
      <w:r w:rsidR="009F0954" w:rsidRPr="00A658CF">
        <w:rPr>
          <w:b/>
          <w:bCs/>
          <w:i/>
          <w:iCs/>
          <w:sz w:val="20"/>
          <w:szCs w:val="20"/>
        </w:rPr>
        <w:t>’</w:t>
      </w:r>
      <w:r w:rsidR="0043762E">
        <w:rPr>
          <w:sz w:val="20"/>
          <w:szCs w:val="20"/>
        </w:rPr>
        <w:t xml:space="preserve"> (Cell L2)</w:t>
      </w:r>
      <w:r>
        <w:rPr>
          <w:sz w:val="20"/>
          <w:szCs w:val="20"/>
        </w:rPr>
        <w:t xml:space="preserve"> into </w:t>
      </w:r>
      <w:r w:rsidR="009F0954">
        <w:rPr>
          <w:sz w:val="20"/>
          <w:szCs w:val="20"/>
        </w:rPr>
        <w:t>‘</w:t>
      </w:r>
      <w:r w:rsidRPr="00A658CF">
        <w:rPr>
          <w:b/>
          <w:bCs/>
          <w:i/>
          <w:iCs/>
          <w:sz w:val="20"/>
          <w:szCs w:val="20"/>
        </w:rPr>
        <w:t xml:space="preserve">Number Screened </w:t>
      </w:r>
      <w:r w:rsidR="004E6DEE" w:rsidRPr="00A658CF">
        <w:rPr>
          <w:b/>
          <w:bCs/>
          <w:i/>
          <w:iCs/>
          <w:sz w:val="20"/>
          <w:szCs w:val="20"/>
        </w:rPr>
        <w:t xml:space="preserve">Positive </w:t>
      </w:r>
      <w:r w:rsidRPr="00A658CF">
        <w:rPr>
          <w:b/>
          <w:bCs/>
          <w:i/>
          <w:iCs/>
          <w:sz w:val="20"/>
          <w:szCs w:val="20"/>
        </w:rPr>
        <w:t>with TPHA only</w:t>
      </w:r>
      <w:r w:rsidR="009F0954" w:rsidRPr="00A658CF">
        <w:rPr>
          <w:b/>
          <w:bCs/>
          <w:i/>
          <w:iCs/>
          <w:sz w:val="20"/>
          <w:szCs w:val="20"/>
        </w:rPr>
        <w:t>’</w:t>
      </w:r>
      <w:r w:rsidRPr="00A658CF">
        <w:rPr>
          <w:b/>
          <w:bCs/>
          <w:i/>
          <w:iCs/>
          <w:sz w:val="20"/>
          <w:szCs w:val="20"/>
        </w:rPr>
        <w:t xml:space="preserve">. </w:t>
      </w:r>
    </w:p>
    <w:p w14:paraId="3390F1BF" w14:textId="5A9700FB" w:rsidR="003B18C1" w:rsidRDefault="003B18C1" w:rsidP="003B18C1">
      <w:pPr>
        <w:rPr>
          <w:sz w:val="20"/>
          <w:szCs w:val="20"/>
        </w:rPr>
      </w:pPr>
    </w:p>
    <w:p w14:paraId="6E0D79CB" w14:textId="5F73FBAF" w:rsidR="003B18C1" w:rsidRDefault="004E6DEE" w:rsidP="00454D74">
      <w:pPr>
        <w:ind w:left="720"/>
        <w:rPr>
          <w:sz w:val="20"/>
          <w:szCs w:val="20"/>
        </w:rPr>
      </w:pPr>
      <w:r>
        <w:rPr>
          <w:sz w:val="20"/>
          <w:szCs w:val="20"/>
        </w:rPr>
        <w:t>Q2</w:t>
      </w:r>
      <w:r w:rsidR="007A112D">
        <w:rPr>
          <w:sz w:val="20"/>
          <w:szCs w:val="20"/>
        </w:rPr>
        <w:t>B</w:t>
      </w:r>
      <w:r w:rsidR="009F0954">
        <w:rPr>
          <w:sz w:val="20"/>
          <w:szCs w:val="20"/>
        </w:rPr>
        <w:t>.</w:t>
      </w:r>
      <w:r>
        <w:rPr>
          <w:sz w:val="20"/>
          <w:szCs w:val="20"/>
        </w:rPr>
        <w:t xml:space="preserve"> </w:t>
      </w:r>
      <w:r w:rsidR="003B18C1">
        <w:rPr>
          <w:sz w:val="20"/>
          <w:szCs w:val="20"/>
        </w:rPr>
        <w:t xml:space="preserve">Do the </w:t>
      </w:r>
      <w:r w:rsidR="0043762E">
        <w:rPr>
          <w:sz w:val="20"/>
          <w:szCs w:val="20"/>
        </w:rPr>
        <w:t>new</w:t>
      </w:r>
      <w:r w:rsidR="009F0954">
        <w:rPr>
          <w:sz w:val="20"/>
          <w:szCs w:val="20"/>
        </w:rPr>
        <w:t xml:space="preserve"> numbers in </w:t>
      </w:r>
      <w:r w:rsidR="00417F73">
        <w:rPr>
          <w:sz w:val="20"/>
          <w:szCs w:val="20"/>
        </w:rPr>
        <w:t>C</w:t>
      </w:r>
      <w:r w:rsidR="009F0954">
        <w:rPr>
          <w:sz w:val="20"/>
          <w:szCs w:val="20"/>
        </w:rPr>
        <w:t>ells K3-K16 and L3-L16 re</w:t>
      </w:r>
      <w:r w:rsidR="003B18C1">
        <w:rPr>
          <w:sz w:val="20"/>
          <w:szCs w:val="20"/>
        </w:rPr>
        <w:t xml:space="preserve">sult make sense? </w:t>
      </w:r>
      <w:r w:rsidR="009F0954">
        <w:rPr>
          <w:sz w:val="20"/>
          <w:szCs w:val="20"/>
        </w:rPr>
        <w:t>Are results for screening with TPHA only</w:t>
      </w:r>
      <w:r w:rsidR="003B18C1">
        <w:rPr>
          <w:sz w:val="20"/>
          <w:szCs w:val="20"/>
        </w:rPr>
        <w:t xml:space="preserve"> relevant for the projection scenario shown?</w:t>
      </w:r>
    </w:p>
    <w:p w14:paraId="3B7C5B62" w14:textId="24D854ED" w:rsidR="00A226DF" w:rsidRDefault="004E6DEE" w:rsidP="00454D74">
      <w:pPr>
        <w:ind w:left="720"/>
        <w:rPr>
          <w:b/>
          <w:bCs/>
          <w:sz w:val="20"/>
          <w:szCs w:val="20"/>
        </w:rPr>
      </w:pPr>
      <w:r w:rsidRPr="004E6DEE">
        <w:rPr>
          <w:sz w:val="20"/>
          <w:szCs w:val="20"/>
          <w:highlight w:val="green"/>
        </w:rPr>
        <w:t>Answer to Q2</w:t>
      </w:r>
      <w:r w:rsidR="007A112D">
        <w:rPr>
          <w:sz w:val="20"/>
          <w:szCs w:val="20"/>
          <w:highlight w:val="green"/>
        </w:rPr>
        <w:t>B</w:t>
      </w:r>
      <w:r w:rsidR="003B542E">
        <w:rPr>
          <w:sz w:val="20"/>
          <w:szCs w:val="20"/>
          <w:highlight w:val="green"/>
        </w:rPr>
        <w:t>.</w:t>
      </w:r>
      <w:r w:rsidRPr="004E6DEE">
        <w:rPr>
          <w:sz w:val="20"/>
          <w:szCs w:val="20"/>
          <w:highlight w:val="green"/>
        </w:rPr>
        <w:t xml:space="preserve"> In the example projection,</w:t>
      </w:r>
      <w:r w:rsidR="00931FA6" w:rsidRPr="00931FA6">
        <w:rPr>
          <w:sz w:val="20"/>
          <w:szCs w:val="20"/>
          <w:highlight w:val="green"/>
        </w:rPr>
        <w:t xml:space="preserve"> all screening was done with both RPR and TPHA tests and as a result</w:t>
      </w:r>
      <w:r w:rsidRPr="004E6DEE">
        <w:rPr>
          <w:sz w:val="20"/>
          <w:szCs w:val="20"/>
          <w:highlight w:val="green"/>
        </w:rPr>
        <w:t xml:space="preserve"> there is no coverage of screening with TPHA only</w:t>
      </w:r>
      <w:r w:rsidR="00931FA6">
        <w:rPr>
          <w:sz w:val="20"/>
          <w:szCs w:val="20"/>
          <w:highlight w:val="green"/>
        </w:rPr>
        <w:t>. Therefore,</w:t>
      </w:r>
      <w:r w:rsidRPr="004E6DEE">
        <w:rPr>
          <w:sz w:val="20"/>
          <w:szCs w:val="20"/>
          <w:highlight w:val="green"/>
        </w:rPr>
        <w:t xml:space="preserve"> both the Number Screened and the Number Screened Positive with TPHA are 0 for all groups. This indicator is not relevant for this country scenario projection.</w:t>
      </w:r>
    </w:p>
    <w:p w14:paraId="49F800CA" w14:textId="530BF29D" w:rsidR="003E2DD1" w:rsidRDefault="003E2DD1" w:rsidP="00A226DF">
      <w:pPr>
        <w:rPr>
          <w:b/>
          <w:bCs/>
          <w:sz w:val="20"/>
          <w:szCs w:val="20"/>
        </w:rPr>
      </w:pPr>
    </w:p>
    <w:p w14:paraId="0C674003" w14:textId="77777777" w:rsidR="004E6DEE" w:rsidRDefault="004E6DEE" w:rsidP="00A226DF">
      <w:pPr>
        <w:rPr>
          <w:b/>
          <w:bCs/>
          <w:sz w:val="20"/>
          <w:szCs w:val="20"/>
        </w:rPr>
      </w:pPr>
    </w:p>
    <w:p w14:paraId="5A9A31A0" w14:textId="0C3F9D50" w:rsidR="003E2DD1" w:rsidRPr="00B55BE7" w:rsidRDefault="003E2DD1" w:rsidP="003E2DD1">
      <w:pPr>
        <w:rPr>
          <w:rFonts w:cs="Times New Roman (Body CS)"/>
          <w:b/>
          <w:bCs/>
          <w:smallCaps/>
          <w:color w:val="0070C0"/>
          <w:sz w:val="28"/>
          <w:szCs w:val="28"/>
        </w:rPr>
      </w:pPr>
      <w:r w:rsidRPr="00B55BE7">
        <w:rPr>
          <w:rFonts w:cs="Times New Roman (Body CS)"/>
          <w:b/>
          <w:bCs/>
          <w:smallCaps/>
          <w:color w:val="0070C0"/>
          <w:sz w:val="28"/>
          <w:szCs w:val="28"/>
        </w:rPr>
        <w:t xml:space="preserve">Exercise </w:t>
      </w:r>
      <w:r>
        <w:rPr>
          <w:rFonts w:cs="Times New Roman (Body CS)"/>
          <w:b/>
          <w:bCs/>
          <w:smallCaps/>
          <w:color w:val="0070C0"/>
          <w:sz w:val="28"/>
          <w:szCs w:val="28"/>
        </w:rPr>
        <w:t>3</w:t>
      </w:r>
      <w:r w:rsidRPr="00B55BE7">
        <w:rPr>
          <w:rFonts w:cs="Times New Roman (Body CS)"/>
          <w:b/>
          <w:bCs/>
          <w:smallCaps/>
          <w:color w:val="0070C0"/>
          <w:sz w:val="28"/>
          <w:szCs w:val="28"/>
        </w:rPr>
        <w:t xml:space="preserve">: </w:t>
      </w:r>
      <w:r>
        <w:rPr>
          <w:rFonts w:cs="Times New Roman (Body CS)"/>
          <w:b/>
          <w:bCs/>
          <w:smallCaps/>
          <w:color w:val="0070C0"/>
          <w:sz w:val="28"/>
          <w:szCs w:val="28"/>
        </w:rPr>
        <w:t xml:space="preserve">Review and adapt unit cost and program cost </w:t>
      </w:r>
    </w:p>
    <w:p w14:paraId="0702D246" w14:textId="77777777" w:rsidR="0043762E" w:rsidRDefault="0043762E" w:rsidP="00052D96">
      <w:pPr>
        <w:pStyle w:val="CommentText"/>
      </w:pPr>
    </w:p>
    <w:p w14:paraId="12496C39" w14:textId="77777777" w:rsidR="0043762E" w:rsidRPr="0043762E" w:rsidRDefault="0043762E" w:rsidP="0043762E">
      <w:pPr>
        <w:rPr>
          <w:rFonts w:cs="Times New Roman (Body CS)"/>
          <w:b/>
          <w:bCs/>
          <w:smallCaps/>
          <w:color w:val="0070C0"/>
          <w:sz w:val="28"/>
          <w:szCs w:val="28"/>
        </w:rPr>
      </w:pPr>
      <w:r>
        <w:rPr>
          <w:sz w:val="20"/>
          <w:szCs w:val="20"/>
        </w:rPr>
        <w:t>To start t</w:t>
      </w:r>
      <w:r w:rsidRPr="00CF3455">
        <w:rPr>
          <w:sz w:val="20"/>
          <w:szCs w:val="20"/>
        </w:rPr>
        <w:t>his exercise</w:t>
      </w:r>
      <w:r>
        <w:rPr>
          <w:sz w:val="20"/>
          <w:szCs w:val="20"/>
        </w:rPr>
        <w:t xml:space="preserve">, please open in Excel </w:t>
      </w:r>
      <w:r w:rsidRPr="00CF3455">
        <w:rPr>
          <w:sz w:val="20"/>
          <w:szCs w:val="20"/>
        </w:rPr>
        <w:t>the training ex</w:t>
      </w:r>
      <w:r>
        <w:rPr>
          <w:sz w:val="20"/>
          <w:szCs w:val="20"/>
        </w:rPr>
        <w:t xml:space="preserve">ample country output file: </w:t>
      </w:r>
    </w:p>
    <w:p w14:paraId="1F4ABDA0" w14:textId="7573B3DC" w:rsidR="00BF7A1E" w:rsidRPr="00C87BE8" w:rsidRDefault="00BF7A1E" w:rsidP="00BF7A1E">
      <w:pPr>
        <w:rPr>
          <w:b/>
          <w:bCs/>
          <w:i/>
          <w:iCs/>
          <w:sz w:val="20"/>
          <w:szCs w:val="20"/>
          <w:lang w:val="fr-CH"/>
        </w:rPr>
      </w:pPr>
      <w:r w:rsidRPr="00C87BE8">
        <w:rPr>
          <w:b/>
          <w:bCs/>
          <w:i/>
          <w:iCs/>
          <w:sz w:val="20"/>
          <w:szCs w:val="20"/>
          <w:lang w:val="fr-CH"/>
        </w:rPr>
        <w:t>Syphilis SITE model_User interface OUTPUT_2</w:t>
      </w:r>
      <w:r w:rsidR="0004417B">
        <w:rPr>
          <w:b/>
          <w:bCs/>
          <w:i/>
          <w:iCs/>
          <w:sz w:val="20"/>
          <w:szCs w:val="20"/>
          <w:lang w:val="fr-CH"/>
        </w:rPr>
        <w:t>9</w:t>
      </w:r>
      <w:r w:rsidRPr="00C87BE8">
        <w:rPr>
          <w:b/>
          <w:bCs/>
          <w:i/>
          <w:iCs/>
          <w:sz w:val="20"/>
          <w:szCs w:val="20"/>
          <w:lang w:val="fr-CH"/>
        </w:rPr>
        <w:t>June2020.xlsx.</w:t>
      </w:r>
    </w:p>
    <w:p w14:paraId="4509E420" w14:textId="77777777" w:rsidR="0043762E" w:rsidRPr="00C87BE8" w:rsidRDefault="0043762E" w:rsidP="00052D96">
      <w:pPr>
        <w:pStyle w:val="CommentText"/>
        <w:rPr>
          <w:lang w:val="fr-CH"/>
        </w:rPr>
      </w:pPr>
    </w:p>
    <w:p w14:paraId="103F4C29" w14:textId="6907AE94" w:rsidR="00052D96" w:rsidRDefault="00052D96" w:rsidP="00052D96">
      <w:pPr>
        <w:pStyle w:val="CommentText"/>
      </w:pPr>
      <w:r>
        <w:t xml:space="preserve">Service delivery unit cost assumptions can be found in </w:t>
      </w:r>
      <w:r w:rsidR="0043762E">
        <w:t>Rows 24 to 33 of the work</w:t>
      </w:r>
      <w:r w:rsidR="00E721B2" w:rsidRPr="003B18C1">
        <w:t xml:space="preserve">sheet </w:t>
      </w:r>
      <w:proofErr w:type="spellStart"/>
      <w:r w:rsidR="00E721B2" w:rsidRPr="003B18C1">
        <w:rPr>
          <w:b/>
          <w:bCs/>
          <w:i/>
          <w:iCs/>
        </w:rPr>
        <w:t>Summary+Cost-Effect</w:t>
      </w:r>
      <w:proofErr w:type="spellEnd"/>
      <w:r>
        <w:t>.  These are combined with model-projected volumes of treatments, screenings and contact tracings (</w:t>
      </w:r>
      <w:r w:rsidR="0043762E">
        <w:t>C</w:t>
      </w:r>
      <w:r>
        <w:t xml:space="preserve">ells J3 to N16) to generate annual </w:t>
      </w:r>
      <w:r w:rsidR="00E721B2">
        <w:t xml:space="preserve">program </w:t>
      </w:r>
      <w:r>
        <w:t xml:space="preserve">costs for the country.  Annual program costs for each interventions are recorded in Row 19. The total cost of all interventions can be found in </w:t>
      </w:r>
      <w:r w:rsidR="0043762E">
        <w:t>C</w:t>
      </w:r>
      <w:r>
        <w:t>ell Q19</w:t>
      </w:r>
      <w:r w:rsidR="00E721B2">
        <w:t>.</w:t>
      </w:r>
    </w:p>
    <w:p w14:paraId="10F5D440" w14:textId="77777777" w:rsidR="003E2DD1" w:rsidRDefault="003E2DD1" w:rsidP="00A226DF">
      <w:pPr>
        <w:rPr>
          <w:sz w:val="20"/>
          <w:szCs w:val="20"/>
        </w:rPr>
      </w:pPr>
    </w:p>
    <w:p w14:paraId="06087DDF" w14:textId="499AAD53" w:rsidR="003E2DD1" w:rsidRPr="003E2DD1" w:rsidRDefault="00B31C15" w:rsidP="00A226DF">
      <w:pPr>
        <w:rPr>
          <w:sz w:val="20"/>
          <w:szCs w:val="20"/>
        </w:rPr>
      </w:pPr>
      <w:r>
        <w:rPr>
          <w:sz w:val="20"/>
          <w:szCs w:val="20"/>
        </w:rPr>
        <w:t>3</w:t>
      </w:r>
      <w:r w:rsidR="003E2DD1">
        <w:rPr>
          <w:sz w:val="20"/>
          <w:szCs w:val="20"/>
        </w:rPr>
        <w:t xml:space="preserve">.1 </w:t>
      </w:r>
      <w:r w:rsidR="003E2DD1" w:rsidRPr="003B18C1">
        <w:rPr>
          <w:sz w:val="20"/>
          <w:szCs w:val="20"/>
        </w:rPr>
        <w:t xml:space="preserve">In sheet </w:t>
      </w:r>
      <w:proofErr w:type="spellStart"/>
      <w:r w:rsidR="003E2DD1" w:rsidRPr="003B18C1">
        <w:rPr>
          <w:b/>
          <w:bCs/>
          <w:i/>
          <w:iCs/>
          <w:sz w:val="20"/>
          <w:szCs w:val="20"/>
        </w:rPr>
        <w:t>Summary+Cost-Effect</w:t>
      </w:r>
      <w:proofErr w:type="spellEnd"/>
      <w:r w:rsidR="003E2DD1" w:rsidRPr="003E2DD1">
        <w:rPr>
          <w:sz w:val="20"/>
          <w:szCs w:val="20"/>
        </w:rPr>
        <w:t xml:space="preserve">, review the service delivery unit costs in </w:t>
      </w:r>
      <w:r w:rsidR="0043762E">
        <w:rPr>
          <w:sz w:val="20"/>
          <w:szCs w:val="20"/>
        </w:rPr>
        <w:t>R</w:t>
      </w:r>
      <w:r w:rsidR="003E2DD1" w:rsidRPr="003E2DD1">
        <w:rPr>
          <w:sz w:val="20"/>
          <w:szCs w:val="20"/>
        </w:rPr>
        <w:t>ows 2</w:t>
      </w:r>
      <w:r w:rsidR="00052D96">
        <w:rPr>
          <w:sz w:val="20"/>
          <w:szCs w:val="20"/>
        </w:rPr>
        <w:t>4</w:t>
      </w:r>
      <w:r w:rsidR="003E2DD1" w:rsidRPr="003E2DD1">
        <w:rPr>
          <w:sz w:val="20"/>
          <w:szCs w:val="20"/>
        </w:rPr>
        <w:t xml:space="preserve">-33. Are they reasonable for your country? </w:t>
      </w:r>
    </w:p>
    <w:p w14:paraId="0C3F8C39" w14:textId="77777777" w:rsidR="00B31C15" w:rsidRDefault="00B31C15" w:rsidP="00A226DF">
      <w:pPr>
        <w:rPr>
          <w:sz w:val="20"/>
          <w:szCs w:val="20"/>
        </w:rPr>
      </w:pPr>
    </w:p>
    <w:p w14:paraId="1547EF1B" w14:textId="059FF177" w:rsidR="003E2DD1" w:rsidRPr="003E2DD1" w:rsidRDefault="00B31C15" w:rsidP="00A226DF">
      <w:pPr>
        <w:rPr>
          <w:sz w:val="20"/>
          <w:szCs w:val="20"/>
        </w:rPr>
      </w:pPr>
      <w:r>
        <w:rPr>
          <w:sz w:val="20"/>
          <w:szCs w:val="20"/>
        </w:rPr>
        <w:t xml:space="preserve">3.2 </w:t>
      </w:r>
      <w:r w:rsidR="003E2DD1" w:rsidRPr="003E2DD1">
        <w:rPr>
          <w:sz w:val="20"/>
          <w:szCs w:val="20"/>
        </w:rPr>
        <w:t xml:space="preserve">In </w:t>
      </w:r>
      <w:r w:rsidR="0043762E">
        <w:rPr>
          <w:sz w:val="20"/>
          <w:szCs w:val="20"/>
        </w:rPr>
        <w:t>R</w:t>
      </w:r>
      <w:r w:rsidR="003E2DD1" w:rsidRPr="003E2DD1">
        <w:rPr>
          <w:sz w:val="20"/>
          <w:szCs w:val="20"/>
        </w:rPr>
        <w:t xml:space="preserve">ow 19, review the resulting annual program cost (by intervention, and in </w:t>
      </w:r>
      <w:r w:rsidR="0043762E">
        <w:rPr>
          <w:sz w:val="20"/>
          <w:szCs w:val="20"/>
        </w:rPr>
        <w:t>C</w:t>
      </w:r>
      <w:r w:rsidR="003E2DD1" w:rsidRPr="003E2DD1">
        <w:rPr>
          <w:sz w:val="20"/>
          <w:szCs w:val="20"/>
        </w:rPr>
        <w:t xml:space="preserve">ell Q19 the total of all syphilis interventions). </w:t>
      </w:r>
    </w:p>
    <w:p w14:paraId="029DCF18" w14:textId="77777777" w:rsidR="001D385F" w:rsidRDefault="001D385F" w:rsidP="00A226DF">
      <w:pPr>
        <w:rPr>
          <w:sz w:val="20"/>
          <w:szCs w:val="20"/>
        </w:rPr>
      </w:pPr>
    </w:p>
    <w:p w14:paraId="4E0CC2CE" w14:textId="19F20798" w:rsidR="003E2DD1" w:rsidRDefault="00B31C15" w:rsidP="00A226DF">
      <w:pPr>
        <w:rPr>
          <w:sz w:val="20"/>
          <w:szCs w:val="20"/>
        </w:rPr>
      </w:pPr>
      <w:r>
        <w:rPr>
          <w:sz w:val="20"/>
          <w:szCs w:val="20"/>
        </w:rPr>
        <w:t xml:space="preserve">3.3 </w:t>
      </w:r>
      <w:r w:rsidR="003E2DD1" w:rsidRPr="003E2DD1">
        <w:rPr>
          <w:sz w:val="20"/>
          <w:szCs w:val="20"/>
        </w:rPr>
        <w:t>Change one</w:t>
      </w:r>
      <w:r w:rsidR="00931FA6">
        <w:rPr>
          <w:sz w:val="20"/>
          <w:szCs w:val="20"/>
        </w:rPr>
        <w:t xml:space="preserve"> </w:t>
      </w:r>
      <w:r w:rsidR="003E2DD1" w:rsidRPr="003E2DD1">
        <w:rPr>
          <w:sz w:val="20"/>
          <w:szCs w:val="20"/>
        </w:rPr>
        <w:t xml:space="preserve">unit cost (e.g. for Screening with RPR, e.g. from default </w:t>
      </w:r>
      <w:r>
        <w:rPr>
          <w:sz w:val="20"/>
          <w:szCs w:val="20"/>
        </w:rPr>
        <w:t>US</w:t>
      </w:r>
      <w:r w:rsidR="003E2DD1" w:rsidRPr="003E2DD1">
        <w:rPr>
          <w:sz w:val="20"/>
          <w:szCs w:val="20"/>
        </w:rPr>
        <w:t>$</w:t>
      </w:r>
      <w:r>
        <w:rPr>
          <w:sz w:val="20"/>
          <w:szCs w:val="20"/>
        </w:rPr>
        <w:t xml:space="preserve"> </w:t>
      </w:r>
      <w:r w:rsidR="003E2DD1" w:rsidRPr="003E2DD1">
        <w:rPr>
          <w:sz w:val="20"/>
          <w:szCs w:val="20"/>
        </w:rPr>
        <w:t xml:space="preserve">2.1 to </w:t>
      </w:r>
      <w:r>
        <w:rPr>
          <w:sz w:val="20"/>
          <w:szCs w:val="20"/>
        </w:rPr>
        <w:t>US</w:t>
      </w:r>
      <w:r w:rsidR="003E2DD1" w:rsidRPr="003E2DD1">
        <w:rPr>
          <w:sz w:val="20"/>
          <w:szCs w:val="20"/>
        </w:rPr>
        <w:t>$</w:t>
      </w:r>
      <w:r>
        <w:rPr>
          <w:sz w:val="20"/>
          <w:szCs w:val="20"/>
        </w:rPr>
        <w:t xml:space="preserve"> </w:t>
      </w:r>
      <w:r w:rsidR="003E2DD1" w:rsidRPr="003E2DD1">
        <w:rPr>
          <w:sz w:val="20"/>
          <w:szCs w:val="20"/>
        </w:rPr>
        <w:t>1.0) and see how the program cost changes.</w:t>
      </w:r>
    </w:p>
    <w:p w14:paraId="1FEFBF19" w14:textId="4B82D7A8" w:rsidR="00B31C15" w:rsidRDefault="00B31C15" w:rsidP="00A226DF">
      <w:pPr>
        <w:rPr>
          <w:sz w:val="20"/>
          <w:szCs w:val="20"/>
        </w:rPr>
      </w:pPr>
    </w:p>
    <w:p w14:paraId="75981CFF" w14:textId="679D6216" w:rsidR="00B31C15" w:rsidRDefault="00B31C15" w:rsidP="00A226DF">
      <w:pPr>
        <w:rPr>
          <w:sz w:val="20"/>
          <w:szCs w:val="20"/>
        </w:rPr>
      </w:pPr>
    </w:p>
    <w:p w14:paraId="5C01FE5C" w14:textId="77777777" w:rsidR="007C4075" w:rsidRDefault="007C4075" w:rsidP="007C4075">
      <w:pPr>
        <w:rPr>
          <w:rFonts w:cs="Times New Roman (Body CS)"/>
          <w:b/>
          <w:bCs/>
          <w:smallCaps/>
          <w:color w:val="0070C0"/>
          <w:sz w:val="28"/>
          <w:szCs w:val="28"/>
        </w:rPr>
      </w:pPr>
      <w:r w:rsidRPr="00B55BE7">
        <w:rPr>
          <w:rFonts w:cs="Times New Roman (Body CS)"/>
          <w:b/>
          <w:bCs/>
          <w:smallCaps/>
          <w:color w:val="0070C0"/>
          <w:sz w:val="28"/>
          <w:szCs w:val="28"/>
        </w:rPr>
        <w:t xml:space="preserve">Exercise </w:t>
      </w:r>
      <w:r>
        <w:rPr>
          <w:rFonts w:cs="Times New Roman (Body CS)"/>
          <w:b/>
          <w:bCs/>
          <w:smallCaps/>
          <w:color w:val="0070C0"/>
          <w:sz w:val="28"/>
          <w:szCs w:val="28"/>
        </w:rPr>
        <w:t>4</w:t>
      </w:r>
      <w:r w:rsidRPr="00B55BE7">
        <w:rPr>
          <w:rFonts w:cs="Times New Roman (Body CS)"/>
          <w:b/>
          <w:bCs/>
          <w:smallCaps/>
          <w:color w:val="0070C0"/>
          <w:sz w:val="28"/>
          <w:szCs w:val="28"/>
        </w:rPr>
        <w:t xml:space="preserve">: </w:t>
      </w:r>
      <w:r>
        <w:rPr>
          <w:rFonts w:cs="Times New Roman (Body CS)"/>
          <w:b/>
          <w:bCs/>
          <w:smallCaps/>
          <w:color w:val="0070C0"/>
          <w:sz w:val="28"/>
          <w:szCs w:val="28"/>
        </w:rPr>
        <w:t>Review and update prevalence (calibration) data</w:t>
      </w:r>
    </w:p>
    <w:p w14:paraId="31EB73C6" w14:textId="77777777" w:rsidR="006A0D7B" w:rsidRDefault="006A0D7B" w:rsidP="008E15E5">
      <w:pPr>
        <w:rPr>
          <w:sz w:val="20"/>
          <w:szCs w:val="20"/>
        </w:rPr>
      </w:pPr>
    </w:p>
    <w:p w14:paraId="02C8C8E8" w14:textId="1C66E1A7" w:rsidR="008E15E5" w:rsidRDefault="008E15E5" w:rsidP="008E15E5">
      <w:pPr>
        <w:rPr>
          <w:sz w:val="20"/>
          <w:szCs w:val="20"/>
        </w:rPr>
      </w:pPr>
      <w:r>
        <w:rPr>
          <w:sz w:val="20"/>
          <w:szCs w:val="20"/>
        </w:rPr>
        <w:t>To start t</w:t>
      </w:r>
      <w:r w:rsidRPr="00CF3455">
        <w:rPr>
          <w:sz w:val="20"/>
          <w:szCs w:val="20"/>
        </w:rPr>
        <w:t>his exercise</w:t>
      </w:r>
      <w:r>
        <w:rPr>
          <w:sz w:val="20"/>
          <w:szCs w:val="20"/>
        </w:rPr>
        <w:t xml:space="preserve">, please open in Excel </w:t>
      </w:r>
      <w:r w:rsidRPr="00CF3455">
        <w:rPr>
          <w:sz w:val="20"/>
          <w:szCs w:val="20"/>
        </w:rPr>
        <w:t>the training ex</w:t>
      </w:r>
      <w:r>
        <w:rPr>
          <w:sz w:val="20"/>
          <w:szCs w:val="20"/>
        </w:rPr>
        <w:t xml:space="preserve">ample country prevalence data file: </w:t>
      </w:r>
    </w:p>
    <w:p w14:paraId="5387FD7E" w14:textId="687D6575" w:rsidR="007C4075" w:rsidRPr="00BF7A1E" w:rsidRDefault="00931FA6" w:rsidP="007C4075">
      <w:pPr>
        <w:rPr>
          <w:b/>
          <w:bCs/>
          <w:i/>
          <w:iCs/>
          <w:sz w:val="20"/>
          <w:szCs w:val="20"/>
        </w:rPr>
      </w:pPr>
      <w:r w:rsidRPr="00931FA6">
        <w:rPr>
          <w:b/>
          <w:bCs/>
          <w:i/>
          <w:iCs/>
          <w:sz w:val="20"/>
          <w:szCs w:val="20"/>
        </w:rPr>
        <w:t>Prevalence calibration data template_20June2020</w:t>
      </w:r>
      <w:r w:rsidR="00BF7A1E" w:rsidRPr="00BF7A1E">
        <w:rPr>
          <w:b/>
          <w:bCs/>
          <w:i/>
          <w:iCs/>
          <w:sz w:val="20"/>
          <w:szCs w:val="20"/>
        </w:rPr>
        <w:t>.xlsx</w:t>
      </w:r>
    </w:p>
    <w:p w14:paraId="1B80CDCF" w14:textId="77777777" w:rsidR="00BF7A1E" w:rsidRDefault="00BF7A1E" w:rsidP="007C4075">
      <w:pPr>
        <w:rPr>
          <w:sz w:val="20"/>
          <w:szCs w:val="20"/>
        </w:rPr>
      </w:pPr>
    </w:p>
    <w:p w14:paraId="6901D7F5" w14:textId="2DAA26FA" w:rsidR="007C4075" w:rsidRDefault="000875CB" w:rsidP="00B31C15">
      <w:pPr>
        <w:rPr>
          <w:sz w:val="20"/>
          <w:szCs w:val="20"/>
        </w:rPr>
      </w:pPr>
      <w:r w:rsidRPr="000875CB">
        <w:rPr>
          <w:sz w:val="20"/>
          <w:szCs w:val="20"/>
        </w:rPr>
        <w:t>For the first data point,</w:t>
      </w:r>
      <w:r>
        <w:rPr>
          <w:sz w:val="20"/>
          <w:szCs w:val="20"/>
        </w:rPr>
        <w:t xml:space="preserve"> in </w:t>
      </w:r>
      <w:r w:rsidR="00C2551A">
        <w:rPr>
          <w:sz w:val="20"/>
          <w:szCs w:val="20"/>
        </w:rPr>
        <w:t xml:space="preserve">Row </w:t>
      </w:r>
      <w:r>
        <w:rPr>
          <w:sz w:val="20"/>
          <w:szCs w:val="20"/>
        </w:rPr>
        <w:t xml:space="preserve">2, </w:t>
      </w:r>
      <w:r w:rsidRPr="000875CB">
        <w:rPr>
          <w:sz w:val="20"/>
          <w:szCs w:val="20"/>
        </w:rPr>
        <w:t>an ANC sentinel survey in 1989, verify how the observed prev</w:t>
      </w:r>
      <w:r>
        <w:rPr>
          <w:sz w:val="20"/>
          <w:szCs w:val="20"/>
        </w:rPr>
        <w:t>a</w:t>
      </w:r>
      <w:r w:rsidRPr="000875CB">
        <w:rPr>
          <w:sz w:val="20"/>
          <w:szCs w:val="20"/>
        </w:rPr>
        <w:t>lence gets adjusted for the diagnostic test used.</w:t>
      </w:r>
    </w:p>
    <w:p w14:paraId="0CD99D49" w14:textId="1373B82A" w:rsidR="000875CB" w:rsidRDefault="000875CB" w:rsidP="00B31C15">
      <w:pPr>
        <w:rPr>
          <w:sz w:val="20"/>
          <w:szCs w:val="20"/>
        </w:rPr>
      </w:pPr>
    </w:p>
    <w:p w14:paraId="4BD4A46F" w14:textId="435E1452" w:rsidR="000875CB" w:rsidRPr="000875CB" w:rsidRDefault="000875CB" w:rsidP="000875CB">
      <w:pPr>
        <w:rPr>
          <w:sz w:val="20"/>
          <w:szCs w:val="20"/>
        </w:rPr>
      </w:pPr>
      <w:r w:rsidRPr="000875CB">
        <w:rPr>
          <w:sz w:val="20"/>
          <w:szCs w:val="20"/>
        </w:rPr>
        <w:t xml:space="preserve">Rows 4, 6, </w:t>
      </w:r>
      <w:r w:rsidRPr="00CD6C52">
        <w:rPr>
          <w:sz w:val="20"/>
          <w:szCs w:val="20"/>
        </w:rPr>
        <w:t xml:space="preserve">7, and </w:t>
      </w:r>
      <w:r w:rsidR="006A0D7B">
        <w:rPr>
          <w:sz w:val="20"/>
          <w:szCs w:val="20"/>
        </w:rPr>
        <w:t xml:space="preserve">8 </w:t>
      </w:r>
      <w:r w:rsidRPr="000875CB">
        <w:rPr>
          <w:sz w:val="20"/>
          <w:szCs w:val="20"/>
        </w:rPr>
        <w:t xml:space="preserve">present data points that are not included in the fitting, and therefore show in grey font. </w:t>
      </w:r>
    </w:p>
    <w:p w14:paraId="0B4B96AA" w14:textId="22244DE7" w:rsidR="000875CB" w:rsidRPr="000875CB" w:rsidRDefault="000875CB" w:rsidP="000875CB">
      <w:pPr>
        <w:ind w:left="720"/>
        <w:rPr>
          <w:sz w:val="20"/>
          <w:szCs w:val="20"/>
        </w:rPr>
      </w:pPr>
      <w:r>
        <w:rPr>
          <w:sz w:val="20"/>
          <w:szCs w:val="20"/>
        </w:rPr>
        <w:br/>
        <w:t>Q4</w:t>
      </w:r>
      <w:r w:rsidR="00931FA6">
        <w:rPr>
          <w:sz w:val="20"/>
          <w:szCs w:val="20"/>
        </w:rPr>
        <w:t>A</w:t>
      </w:r>
      <w:r>
        <w:rPr>
          <w:sz w:val="20"/>
          <w:szCs w:val="20"/>
        </w:rPr>
        <w:t xml:space="preserve">. Why are these data excluded? What is the reason to still </w:t>
      </w:r>
      <w:r w:rsidR="006A0D7B">
        <w:rPr>
          <w:sz w:val="20"/>
          <w:szCs w:val="20"/>
        </w:rPr>
        <w:t xml:space="preserve">show </w:t>
      </w:r>
      <w:r>
        <w:rPr>
          <w:sz w:val="20"/>
          <w:szCs w:val="20"/>
        </w:rPr>
        <w:t>them in the data sheet?</w:t>
      </w:r>
    </w:p>
    <w:p w14:paraId="3B5C7014" w14:textId="102A50AD" w:rsidR="000875CB" w:rsidRPr="000875CB" w:rsidRDefault="000875CB" w:rsidP="000875CB">
      <w:pPr>
        <w:ind w:left="720"/>
        <w:rPr>
          <w:color w:val="0070C0"/>
          <w:sz w:val="20"/>
          <w:szCs w:val="20"/>
          <w:highlight w:val="green"/>
        </w:rPr>
      </w:pPr>
      <w:r w:rsidRPr="000875CB">
        <w:rPr>
          <w:color w:val="0070C0"/>
          <w:sz w:val="20"/>
          <w:szCs w:val="20"/>
          <w:highlight w:val="green"/>
        </w:rPr>
        <w:t>Answer to Q4</w:t>
      </w:r>
      <w:r w:rsidR="00931FA6">
        <w:rPr>
          <w:color w:val="0070C0"/>
          <w:sz w:val="20"/>
          <w:szCs w:val="20"/>
          <w:highlight w:val="green"/>
        </w:rPr>
        <w:t>A</w:t>
      </w:r>
      <w:r w:rsidRPr="000875CB">
        <w:rPr>
          <w:color w:val="0070C0"/>
          <w:sz w:val="20"/>
          <w:szCs w:val="20"/>
          <w:highlight w:val="green"/>
        </w:rPr>
        <w:t xml:space="preserve">. </w:t>
      </w:r>
      <w:r w:rsidR="006A0D7B">
        <w:rPr>
          <w:color w:val="0070C0"/>
          <w:sz w:val="20"/>
          <w:szCs w:val="20"/>
          <w:highlight w:val="green"/>
        </w:rPr>
        <w:t>Data were excluded as they duplicate other data (see</w:t>
      </w:r>
      <w:r w:rsidRPr="000875CB">
        <w:rPr>
          <w:color w:val="0070C0"/>
          <w:sz w:val="20"/>
          <w:szCs w:val="20"/>
          <w:highlight w:val="green"/>
        </w:rPr>
        <w:t xml:space="preserve"> Column K</w:t>
      </w:r>
      <w:r w:rsidR="006A0D7B">
        <w:rPr>
          <w:color w:val="0070C0"/>
          <w:sz w:val="20"/>
          <w:szCs w:val="20"/>
          <w:highlight w:val="green"/>
        </w:rPr>
        <w:t>)</w:t>
      </w:r>
      <w:r w:rsidRPr="000875CB">
        <w:rPr>
          <w:color w:val="0070C0"/>
          <w:sz w:val="20"/>
          <w:szCs w:val="20"/>
          <w:highlight w:val="green"/>
        </w:rPr>
        <w:t xml:space="preserve">. The data are shown, to indicate that the user </w:t>
      </w:r>
      <w:r w:rsidR="006A0D7B" w:rsidRPr="000875CB">
        <w:rPr>
          <w:color w:val="0070C0"/>
          <w:sz w:val="20"/>
          <w:szCs w:val="20"/>
          <w:highlight w:val="green"/>
        </w:rPr>
        <w:t>ha</w:t>
      </w:r>
      <w:r w:rsidR="006A0D7B">
        <w:rPr>
          <w:color w:val="0070C0"/>
          <w:sz w:val="20"/>
          <w:szCs w:val="20"/>
          <w:highlight w:val="green"/>
        </w:rPr>
        <w:t>s</w:t>
      </w:r>
      <w:r w:rsidR="006A0D7B" w:rsidRPr="000875CB">
        <w:rPr>
          <w:color w:val="0070C0"/>
          <w:sz w:val="20"/>
          <w:szCs w:val="20"/>
          <w:highlight w:val="green"/>
        </w:rPr>
        <w:t xml:space="preserve"> </w:t>
      </w:r>
      <w:r w:rsidRPr="000875CB">
        <w:rPr>
          <w:color w:val="0070C0"/>
          <w:sz w:val="20"/>
          <w:szCs w:val="20"/>
          <w:highlight w:val="green"/>
        </w:rPr>
        <w:t xml:space="preserve">not overlooked them, but rather </w:t>
      </w:r>
      <w:r w:rsidR="006A0D7B">
        <w:rPr>
          <w:color w:val="0070C0"/>
          <w:sz w:val="20"/>
          <w:szCs w:val="20"/>
          <w:highlight w:val="green"/>
        </w:rPr>
        <w:t>excluded them for a specific reason</w:t>
      </w:r>
      <w:r w:rsidRPr="000875CB">
        <w:rPr>
          <w:color w:val="0070C0"/>
          <w:sz w:val="20"/>
          <w:szCs w:val="20"/>
          <w:highlight w:val="green"/>
        </w:rPr>
        <w:t>.</w:t>
      </w:r>
    </w:p>
    <w:p w14:paraId="3822EDF7" w14:textId="58E298B0" w:rsidR="000875CB" w:rsidRPr="00690D83" w:rsidRDefault="000875CB" w:rsidP="00B31C15">
      <w:pPr>
        <w:rPr>
          <w:sz w:val="20"/>
          <w:szCs w:val="20"/>
        </w:rPr>
      </w:pPr>
    </w:p>
    <w:p w14:paraId="08087B39" w14:textId="24943738" w:rsidR="000875CB" w:rsidRDefault="000875CB" w:rsidP="00B31C15">
      <w:pPr>
        <w:rPr>
          <w:sz w:val="20"/>
          <w:szCs w:val="20"/>
        </w:rPr>
      </w:pPr>
      <w:r w:rsidRPr="00690D83">
        <w:rPr>
          <w:sz w:val="20"/>
          <w:szCs w:val="20"/>
        </w:rPr>
        <w:lastRenderedPageBreak/>
        <w:t xml:space="preserve">Back to the </w:t>
      </w:r>
      <w:r w:rsidRPr="000875CB">
        <w:rPr>
          <w:sz w:val="20"/>
          <w:szCs w:val="20"/>
        </w:rPr>
        <w:t>first data point,</w:t>
      </w:r>
      <w:r>
        <w:rPr>
          <w:sz w:val="20"/>
          <w:szCs w:val="20"/>
        </w:rPr>
        <w:t xml:space="preserve"> in </w:t>
      </w:r>
      <w:r w:rsidR="006A0D7B">
        <w:rPr>
          <w:sz w:val="20"/>
          <w:szCs w:val="20"/>
        </w:rPr>
        <w:t xml:space="preserve">Row </w:t>
      </w:r>
      <w:r>
        <w:rPr>
          <w:sz w:val="20"/>
          <w:szCs w:val="20"/>
        </w:rPr>
        <w:t xml:space="preserve">2, </w:t>
      </w:r>
      <w:r w:rsidRPr="000875CB">
        <w:rPr>
          <w:sz w:val="20"/>
          <w:szCs w:val="20"/>
        </w:rPr>
        <w:t>an ANC sentinel survey in 1989</w:t>
      </w:r>
      <w:r>
        <w:rPr>
          <w:sz w:val="20"/>
          <w:szCs w:val="20"/>
        </w:rPr>
        <w:t>: Colum</w:t>
      </w:r>
      <w:r w:rsidR="009C3A1D">
        <w:rPr>
          <w:sz w:val="20"/>
          <w:szCs w:val="20"/>
        </w:rPr>
        <w:t>n</w:t>
      </w:r>
      <w:r>
        <w:rPr>
          <w:sz w:val="20"/>
          <w:szCs w:val="20"/>
        </w:rPr>
        <w:t xml:space="preserve"> K states that this data </w:t>
      </w:r>
      <w:r w:rsidR="009C3A1D">
        <w:rPr>
          <w:sz w:val="20"/>
          <w:szCs w:val="20"/>
        </w:rPr>
        <w:t xml:space="preserve">point has been </w:t>
      </w:r>
      <w:r>
        <w:rPr>
          <w:sz w:val="20"/>
          <w:szCs w:val="20"/>
        </w:rPr>
        <w:t>interpreted as indicative of Low-</w:t>
      </w:r>
      <w:r w:rsidR="009C3A1D">
        <w:rPr>
          <w:sz w:val="20"/>
          <w:szCs w:val="20"/>
        </w:rPr>
        <w:t>Ri</w:t>
      </w:r>
      <w:r>
        <w:rPr>
          <w:sz w:val="20"/>
          <w:szCs w:val="20"/>
        </w:rPr>
        <w:t>sk and Medium-</w:t>
      </w:r>
      <w:r w:rsidR="009C3A1D">
        <w:rPr>
          <w:sz w:val="20"/>
          <w:szCs w:val="20"/>
        </w:rPr>
        <w:t>Ri</w:t>
      </w:r>
      <w:r>
        <w:rPr>
          <w:sz w:val="20"/>
          <w:szCs w:val="20"/>
        </w:rPr>
        <w:t>sk women</w:t>
      </w:r>
      <w:r w:rsidR="009C3A1D">
        <w:rPr>
          <w:sz w:val="20"/>
          <w:szCs w:val="20"/>
        </w:rPr>
        <w:t>.  This is how all</w:t>
      </w:r>
      <w:r>
        <w:rPr>
          <w:sz w:val="20"/>
          <w:szCs w:val="20"/>
        </w:rPr>
        <w:t xml:space="preserve"> ANC women</w:t>
      </w:r>
      <w:r w:rsidR="009C3A1D">
        <w:rPr>
          <w:sz w:val="20"/>
          <w:szCs w:val="20"/>
        </w:rPr>
        <w:t xml:space="preserve"> have been handled</w:t>
      </w:r>
      <w:r>
        <w:rPr>
          <w:sz w:val="20"/>
          <w:szCs w:val="20"/>
        </w:rPr>
        <w:t xml:space="preserve">. </w:t>
      </w:r>
    </w:p>
    <w:p w14:paraId="0E226B80" w14:textId="5982BFA0" w:rsidR="000875CB" w:rsidRDefault="000875CB" w:rsidP="00B31C15">
      <w:pPr>
        <w:rPr>
          <w:sz w:val="20"/>
          <w:szCs w:val="20"/>
        </w:rPr>
      </w:pPr>
    </w:p>
    <w:p w14:paraId="07F49DF0" w14:textId="77777777" w:rsidR="00690D83" w:rsidRPr="00931FA6" w:rsidRDefault="00690D83" w:rsidP="00B31C15">
      <w:pPr>
        <w:rPr>
          <w:rFonts w:cs="Times New Roman (Body CS)"/>
          <w:b/>
          <w:bCs/>
          <w:smallCaps/>
          <w:sz w:val="28"/>
          <w:szCs w:val="28"/>
        </w:rPr>
      </w:pPr>
    </w:p>
    <w:p w14:paraId="566A945A" w14:textId="06C6B8A9" w:rsidR="00B31C15" w:rsidRDefault="00B31C15" w:rsidP="00B31C15">
      <w:pPr>
        <w:rPr>
          <w:rFonts w:cs="Times New Roman (Body CS)"/>
          <w:b/>
          <w:bCs/>
          <w:smallCaps/>
          <w:color w:val="0070C0"/>
          <w:sz w:val="28"/>
          <w:szCs w:val="28"/>
        </w:rPr>
      </w:pPr>
      <w:r w:rsidRPr="00B55BE7">
        <w:rPr>
          <w:rFonts w:cs="Times New Roman (Body CS)"/>
          <w:b/>
          <w:bCs/>
          <w:smallCaps/>
          <w:color w:val="0070C0"/>
          <w:sz w:val="28"/>
          <w:szCs w:val="28"/>
        </w:rPr>
        <w:t xml:space="preserve">Exercise </w:t>
      </w:r>
      <w:r w:rsidR="007C4075">
        <w:rPr>
          <w:rFonts w:cs="Times New Roman (Body CS)"/>
          <w:b/>
          <w:bCs/>
          <w:smallCaps/>
          <w:color w:val="0070C0"/>
          <w:sz w:val="28"/>
          <w:szCs w:val="28"/>
        </w:rPr>
        <w:t>5</w:t>
      </w:r>
      <w:r w:rsidRPr="00B55BE7">
        <w:rPr>
          <w:rFonts w:cs="Times New Roman (Body CS)"/>
          <w:b/>
          <w:bCs/>
          <w:smallCaps/>
          <w:color w:val="0070C0"/>
          <w:sz w:val="28"/>
          <w:szCs w:val="28"/>
        </w:rPr>
        <w:t xml:space="preserve">: </w:t>
      </w:r>
      <w:r>
        <w:rPr>
          <w:rFonts w:cs="Times New Roman (Body CS)"/>
          <w:b/>
          <w:bCs/>
          <w:smallCaps/>
          <w:color w:val="0070C0"/>
          <w:sz w:val="28"/>
          <w:szCs w:val="28"/>
        </w:rPr>
        <w:t>Review and adapt the country input file</w:t>
      </w:r>
    </w:p>
    <w:p w14:paraId="13D11DB3" w14:textId="77777777" w:rsidR="001D385F" w:rsidRDefault="001D385F" w:rsidP="00B31C15">
      <w:pPr>
        <w:rPr>
          <w:sz w:val="20"/>
          <w:szCs w:val="20"/>
        </w:rPr>
      </w:pPr>
    </w:p>
    <w:p w14:paraId="050B9FA6" w14:textId="42FB0D51" w:rsidR="00B31C15" w:rsidRPr="00931FA6" w:rsidRDefault="00B31C15" w:rsidP="00B31C15">
      <w:pPr>
        <w:rPr>
          <w:sz w:val="20"/>
          <w:szCs w:val="20"/>
        </w:rPr>
      </w:pPr>
      <w:r>
        <w:rPr>
          <w:sz w:val="20"/>
          <w:szCs w:val="20"/>
        </w:rPr>
        <w:t>To start t</w:t>
      </w:r>
      <w:r w:rsidRPr="00CF3455">
        <w:rPr>
          <w:sz w:val="20"/>
          <w:szCs w:val="20"/>
        </w:rPr>
        <w:t>his exercise</w:t>
      </w:r>
      <w:r>
        <w:rPr>
          <w:sz w:val="20"/>
          <w:szCs w:val="20"/>
        </w:rPr>
        <w:t xml:space="preserve">, please open in Excel </w:t>
      </w:r>
      <w:r w:rsidRPr="00931FA6">
        <w:rPr>
          <w:sz w:val="20"/>
          <w:szCs w:val="20"/>
        </w:rPr>
        <w:t xml:space="preserve">the training example country </w:t>
      </w:r>
      <w:r w:rsidR="008E15E5" w:rsidRPr="00931FA6">
        <w:rPr>
          <w:sz w:val="20"/>
          <w:szCs w:val="20"/>
        </w:rPr>
        <w:t xml:space="preserve">input </w:t>
      </w:r>
      <w:r w:rsidRPr="00931FA6">
        <w:rPr>
          <w:sz w:val="20"/>
          <w:szCs w:val="20"/>
        </w:rPr>
        <w:t xml:space="preserve">file: </w:t>
      </w:r>
    </w:p>
    <w:p w14:paraId="29F869AA" w14:textId="2F62D3AE" w:rsidR="00B31C15" w:rsidRPr="00C87BE8" w:rsidRDefault="00B31C15" w:rsidP="00B31C15">
      <w:pPr>
        <w:rPr>
          <w:b/>
          <w:bCs/>
          <w:i/>
          <w:iCs/>
          <w:sz w:val="20"/>
          <w:szCs w:val="20"/>
          <w:lang w:val="fr-CH"/>
        </w:rPr>
      </w:pPr>
      <w:r w:rsidRPr="00C87BE8">
        <w:rPr>
          <w:b/>
          <w:bCs/>
          <w:i/>
          <w:iCs/>
          <w:sz w:val="20"/>
          <w:szCs w:val="20"/>
          <w:lang w:val="fr-CH"/>
        </w:rPr>
        <w:t>Syphilis</w:t>
      </w:r>
      <w:r w:rsidR="005C2C71" w:rsidRPr="00C87BE8">
        <w:rPr>
          <w:b/>
          <w:bCs/>
          <w:i/>
          <w:iCs/>
          <w:sz w:val="20"/>
          <w:szCs w:val="20"/>
          <w:lang w:val="fr-CH"/>
        </w:rPr>
        <w:t xml:space="preserve"> SITE</w:t>
      </w:r>
      <w:r w:rsidRPr="00C87BE8">
        <w:rPr>
          <w:b/>
          <w:bCs/>
          <w:i/>
          <w:iCs/>
          <w:sz w:val="20"/>
          <w:szCs w:val="20"/>
          <w:lang w:val="fr-CH"/>
        </w:rPr>
        <w:t xml:space="preserve"> model_User interface INPUT_</w:t>
      </w:r>
      <w:r w:rsidR="0004417B">
        <w:rPr>
          <w:b/>
          <w:bCs/>
          <w:i/>
          <w:iCs/>
          <w:sz w:val="20"/>
          <w:szCs w:val="20"/>
          <w:lang w:val="fr-CH"/>
        </w:rPr>
        <w:t>29</w:t>
      </w:r>
      <w:r w:rsidRPr="00C87BE8">
        <w:rPr>
          <w:b/>
          <w:bCs/>
          <w:i/>
          <w:iCs/>
          <w:sz w:val="20"/>
          <w:szCs w:val="20"/>
          <w:lang w:val="fr-CH"/>
        </w:rPr>
        <w:t>June2020.XLSX</w:t>
      </w:r>
    </w:p>
    <w:p w14:paraId="6B624308" w14:textId="77777777" w:rsidR="00DC66DE" w:rsidRPr="00C87BE8" w:rsidRDefault="00DC66DE" w:rsidP="00DC66DE">
      <w:pPr>
        <w:rPr>
          <w:sz w:val="20"/>
          <w:szCs w:val="20"/>
          <w:lang w:val="fr-CH"/>
        </w:rPr>
      </w:pPr>
    </w:p>
    <w:p w14:paraId="5623E3B1" w14:textId="4F8D18D4" w:rsidR="00772AB1" w:rsidRPr="00931FA6" w:rsidRDefault="00772AB1" w:rsidP="00A226DF">
      <w:pPr>
        <w:rPr>
          <w:sz w:val="20"/>
          <w:szCs w:val="20"/>
        </w:rPr>
      </w:pPr>
      <w:r w:rsidRPr="00931FA6">
        <w:rPr>
          <w:sz w:val="20"/>
          <w:szCs w:val="20"/>
        </w:rPr>
        <w:t xml:space="preserve">This file has 5 </w:t>
      </w:r>
      <w:r w:rsidR="009C3A1D" w:rsidRPr="00931FA6">
        <w:rPr>
          <w:sz w:val="20"/>
          <w:szCs w:val="20"/>
        </w:rPr>
        <w:t>works</w:t>
      </w:r>
      <w:r w:rsidRPr="00931FA6">
        <w:rPr>
          <w:sz w:val="20"/>
          <w:szCs w:val="20"/>
        </w:rPr>
        <w:t xml:space="preserve">heets </w:t>
      </w:r>
      <w:r w:rsidR="009C3A1D" w:rsidRPr="00931FA6">
        <w:rPr>
          <w:sz w:val="20"/>
          <w:szCs w:val="20"/>
        </w:rPr>
        <w:t>that users can edit</w:t>
      </w:r>
      <w:r w:rsidRPr="00931FA6">
        <w:rPr>
          <w:sz w:val="20"/>
          <w:szCs w:val="20"/>
        </w:rPr>
        <w:t xml:space="preserve">, with their names at the bottom </w:t>
      </w:r>
      <w:r w:rsidR="00CD6C52" w:rsidRPr="00931FA6">
        <w:rPr>
          <w:sz w:val="20"/>
          <w:szCs w:val="20"/>
        </w:rPr>
        <w:t>shaded in</w:t>
      </w:r>
      <w:r w:rsidRPr="00931FA6">
        <w:rPr>
          <w:sz w:val="20"/>
          <w:szCs w:val="20"/>
        </w:rPr>
        <w:t xml:space="preserve"> green. </w:t>
      </w:r>
      <w:r w:rsidR="009C3A1D" w:rsidRPr="00931FA6">
        <w:rPr>
          <w:sz w:val="20"/>
          <w:szCs w:val="20"/>
        </w:rPr>
        <w:t xml:space="preserve">In </w:t>
      </w:r>
      <w:r w:rsidRPr="00931FA6">
        <w:rPr>
          <w:sz w:val="20"/>
          <w:szCs w:val="20"/>
        </w:rPr>
        <w:t xml:space="preserve">these 5 </w:t>
      </w:r>
      <w:r w:rsidR="009C3A1D" w:rsidRPr="00931FA6">
        <w:rPr>
          <w:sz w:val="20"/>
          <w:szCs w:val="20"/>
        </w:rPr>
        <w:t>work</w:t>
      </w:r>
      <w:r w:rsidRPr="00931FA6">
        <w:rPr>
          <w:sz w:val="20"/>
          <w:szCs w:val="20"/>
        </w:rPr>
        <w:t>sheets</w:t>
      </w:r>
      <w:r w:rsidR="00DC66DE" w:rsidRPr="00931FA6">
        <w:rPr>
          <w:sz w:val="20"/>
          <w:szCs w:val="20"/>
        </w:rPr>
        <w:t>, cells shaded in blue are global parameters and should not be edited. Cells shaded in green are country</w:t>
      </w:r>
      <w:r w:rsidR="00A658CF" w:rsidRPr="00931FA6">
        <w:rPr>
          <w:sz w:val="20"/>
          <w:szCs w:val="20"/>
        </w:rPr>
        <w:t>-</w:t>
      </w:r>
      <w:r w:rsidR="00DC66DE" w:rsidRPr="00931FA6">
        <w:rPr>
          <w:sz w:val="20"/>
          <w:szCs w:val="20"/>
        </w:rPr>
        <w:t xml:space="preserve">specific and can be changed.  </w:t>
      </w:r>
    </w:p>
    <w:p w14:paraId="1BC8E526" w14:textId="1875C0D1" w:rsidR="00B31C15" w:rsidRDefault="00772AB1" w:rsidP="00A226DF">
      <w:pPr>
        <w:rPr>
          <w:sz w:val="20"/>
          <w:szCs w:val="20"/>
        </w:rPr>
      </w:pPr>
      <w:r w:rsidRPr="00931FA6">
        <w:rPr>
          <w:sz w:val="20"/>
          <w:szCs w:val="20"/>
        </w:rPr>
        <w:br/>
      </w:r>
      <w:r w:rsidR="009C3A1D" w:rsidRPr="00931FA6">
        <w:rPr>
          <w:sz w:val="20"/>
          <w:szCs w:val="20"/>
        </w:rPr>
        <w:t xml:space="preserve">The input </w:t>
      </w:r>
      <w:r w:rsidRPr="00931FA6">
        <w:rPr>
          <w:sz w:val="20"/>
          <w:szCs w:val="20"/>
        </w:rPr>
        <w:t xml:space="preserve">file </w:t>
      </w:r>
      <w:r w:rsidR="009C3A1D" w:rsidRPr="00931FA6">
        <w:rPr>
          <w:sz w:val="20"/>
          <w:szCs w:val="20"/>
        </w:rPr>
        <w:t xml:space="preserve">also </w:t>
      </w:r>
      <w:r w:rsidRPr="00931FA6">
        <w:rPr>
          <w:sz w:val="20"/>
          <w:szCs w:val="20"/>
        </w:rPr>
        <w:t xml:space="preserve">contains 3 </w:t>
      </w:r>
      <w:r w:rsidR="00CD6C52" w:rsidRPr="00931FA6">
        <w:rPr>
          <w:sz w:val="20"/>
          <w:szCs w:val="20"/>
        </w:rPr>
        <w:t>work</w:t>
      </w:r>
      <w:r w:rsidRPr="00931FA6">
        <w:rPr>
          <w:sz w:val="20"/>
          <w:szCs w:val="20"/>
        </w:rPr>
        <w:t>sheets</w:t>
      </w:r>
      <w:r w:rsidR="00931FA6">
        <w:rPr>
          <w:sz w:val="20"/>
          <w:szCs w:val="20"/>
        </w:rPr>
        <w:t xml:space="preserve"> (which, if unhidden, show </w:t>
      </w:r>
      <w:r w:rsidR="00CD6C52" w:rsidRPr="00931FA6">
        <w:rPr>
          <w:sz w:val="20"/>
          <w:szCs w:val="20"/>
        </w:rPr>
        <w:t>with the</w:t>
      </w:r>
      <w:r w:rsidR="00931FA6">
        <w:rPr>
          <w:sz w:val="20"/>
          <w:szCs w:val="20"/>
        </w:rPr>
        <w:t xml:space="preserve"> sheet</w:t>
      </w:r>
      <w:r w:rsidR="00CD6C52" w:rsidRPr="00931FA6">
        <w:rPr>
          <w:sz w:val="20"/>
          <w:szCs w:val="20"/>
        </w:rPr>
        <w:t xml:space="preserve"> names a</w:t>
      </w:r>
      <w:r w:rsidR="00931FA6">
        <w:rPr>
          <w:sz w:val="20"/>
          <w:szCs w:val="20"/>
        </w:rPr>
        <w:t>t</w:t>
      </w:r>
      <w:r w:rsidR="00CD6C52" w:rsidRPr="00931FA6">
        <w:rPr>
          <w:sz w:val="20"/>
          <w:szCs w:val="20"/>
        </w:rPr>
        <w:t xml:space="preserve"> </w:t>
      </w:r>
      <w:r w:rsidRPr="00931FA6">
        <w:rPr>
          <w:sz w:val="20"/>
          <w:szCs w:val="20"/>
        </w:rPr>
        <w:t xml:space="preserve">the bottom </w:t>
      </w:r>
      <w:r w:rsidR="00931FA6">
        <w:rPr>
          <w:sz w:val="20"/>
          <w:szCs w:val="20"/>
        </w:rPr>
        <w:t>in red-shade). T</w:t>
      </w:r>
      <w:r w:rsidRPr="00931FA6">
        <w:rPr>
          <w:sz w:val="20"/>
          <w:szCs w:val="20"/>
        </w:rPr>
        <w:t>hese interact with the R code and should NOT be touched by the user.</w:t>
      </w:r>
      <w:r w:rsidR="00DC66DE">
        <w:rPr>
          <w:sz w:val="20"/>
          <w:szCs w:val="20"/>
        </w:rPr>
        <w:br/>
      </w:r>
    </w:p>
    <w:p w14:paraId="2CD95855" w14:textId="160D059A" w:rsidR="00937594" w:rsidRPr="00937594" w:rsidRDefault="00937594" w:rsidP="00A226DF">
      <w:pPr>
        <w:rPr>
          <w:sz w:val="20"/>
          <w:szCs w:val="20"/>
          <w:u w:val="single"/>
        </w:rPr>
      </w:pPr>
      <w:r w:rsidRPr="00937594">
        <w:rPr>
          <w:sz w:val="20"/>
          <w:szCs w:val="20"/>
          <w:u w:val="single"/>
        </w:rPr>
        <w:t xml:space="preserve">Sheet </w:t>
      </w:r>
      <w:r w:rsidRPr="00937594">
        <w:rPr>
          <w:b/>
          <w:bCs/>
          <w:i/>
          <w:iCs/>
          <w:sz w:val="20"/>
          <w:szCs w:val="20"/>
          <w:u w:val="single"/>
        </w:rPr>
        <w:t>Parameters</w:t>
      </w:r>
    </w:p>
    <w:p w14:paraId="3F03604F" w14:textId="26FC9987" w:rsidR="00A20FB8" w:rsidRDefault="00CD6C52" w:rsidP="00A226DF">
      <w:pPr>
        <w:rPr>
          <w:sz w:val="20"/>
          <w:szCs w:val="20"/>
        </w:rPr>
      </w:pPr>
      <w:r>
        <w:rPr>
          <w:sz w:val="20"/>
          <w:szCs w:val="20"/>
        </w:rPr>
        <w:t>The Natural History (</w:t>
      </w:r>
      <w:r w:rsidR="00DC66DE">
        <w:rPr>
          <w:sz w:val="20"/>
          <w:szCs w:val="20"/>
        </w:rPr>
        <w:t>b</w:t>
      </w:r>
      <w:r w:rsidR="00B31C15">
        <w:rPr>
          <w:sz w:val="20"/>
          <w:szCs w:val="20"/>
        </w:rPr>
        <w:t>iomedical parameters</w:t>
      </w:r>
      <w:r>
        <w:rPr>
          <w:sz w:val="20"/>
          <w:szCs w:val="20"/>
        </w:rPr>
        <w:t>) start in Row 19</w:t>
      </w:r>
      <w:r w:rsidR="00931FA6">
        <w:rPr>
          <w:sz w:val="20"/>
          <w:szCs w:val="20"/>
        </w:rPr>
        <w:t xml:space="preserve">. </w:t>
      </w:r>
      <w:r w:rsidR="00937594">
        <w:rPr>
          <w:sz w:val="20"/>
          <w:szCs w:val="20"/>
        </w:rPr>
        <w:t>Look at Stage</w:t>
      </w:r>
      <w:r w:rsidR="00B31C15">
        <w:rPr>
          <w:sz w:val="20"/>
          <w:szCs w:val="20"/>
        </w:rPr>
        <w:t xml:space="preserve"> durations (</w:t>
      </w:r>
      <w:r w:rsidR="00A20FB8">
        <w:rPr>
          <w:sz w:val="20"/>
          <w:szCs w:val="20"/>
        </w:rPr>
        <w:t>Rows</w:t>
      </w:r>
      <w:r w:rsidR="00B31C15">
        <w:rPr>
          <w:sz w:val="20"/>
          <w:szCs w:val="20"/>
        </w:rPr>
        <w:t xml:space="preserve"> 20-24)</w:t>
      </w:r>
      <w:r w:rsidR="00A20FB8">
        <w:rPr>
          <w:sz w:val="20"/>
          <w:szCs w:val="20"/>
        </w:rPr>
        <w:t xml:space="preserve">. </w:t>
      </w:r>
    </w:p>
    <w:p w14:paraId="345E1434" w14:textId="77777777" w:rsidR="00A20FB8" w:rsidRDefault="00A20FB8" w:rsidP="00A226DF">
      <w:pPr>
        <w:rPr>
          <w:sz w:val="20"/>
          <w:szCs w:val="20"/>
        </w:rPr>
      </w:pPr>
    </w:p>
    <w:p w14:paraId="3AEDAAAF" w14:textId="451DCBB3" w:rsidR="00B31C15" w:rsidRDefault="00A20FB8" w:rsidP="00C80459">
      <w:pPr>
        <w:ind w:left="720"/>
        <w:rPr>
          <w:sz w:val="20"/>
          <w:szCs w:val="20"/>
        </w:rPr>
      </w:pPr>
      <w:r>
        <w:rPr>
          <w:sz w:val="20"/>
          <w:szCs w:val="20"/>
        </w:rPr>
        <w:t>Q5A. W</w:t>
      </w:r>
      <w:r w:rsidR="00B31C15">
        <w:rPr>
          <w:sz w:val="20"/>
          <w:szCs w:val="20"/>
        </w:rPr>
        <w:t xml:space="preserve">hy </w:t>
      </w:r>
      <w:r w:rsidR="00937594">
        <w:rPr>
          <w:sz w:val="20"/>
          <w:szCs w:val="20"/>
        </w:rPr>
        <w:t xml:space="preserve">do you think </w:t>
      </w:r>
      <w:r w:rsidR="00B31C15">
        <w:rPr>
          <w:sz w:val="20"/>
          <w:szCs w:val="20"/>
        </w:rPr>
        <w:t xml:space="preserve">4 of the 5 </w:t>
      </w:r>
      <w:r w:rsidR="00937594">
        <w:rPr>
          <w:sz w:val="20"/>
          <w:szCs w:val="20"/>
        </w:rPr>
        <w:t>are fixed</w:t>
      </w:r>
      <w:r w:rsidR="00931FA6">
        <w:rPr>
          <w:sz w:val="20"/>
          <w:szCs w:val="20"/>
        </w:rPr>
        <w:t>,</w:t>
      </w:r>
      <w:r w:rsidR="00937594">
        <w:rPr>
          <w:sz w:val="20"/>
          <w:szCs w:val="20"/>
        </w:rPr>
        <w:t xml:space="preserve"> global parameters and only one, </w:t>
      </w:r>
      <w:r w:rsidR="007B0552">
        <w:rPr>
          <w:sz w:val="20"/>
          <w:szCs w:val="20"/>
        </w:rPr>
        <w:t>the duration of the Latent phase (</w:t>
      </w:r>
      <w:r w:rsidR="0043762E">
        <w:rPr>
          <w:sz w:val="20"/>
          <w:szCs w:val="20"/>
        </w:rPr>
        <w:t>C</w:t>
      </w:r>
      <w:r w:rsidR="007B0552">
        <w:rPr>
          <w:sz w:val="20"/>
          <w:szCs w:val="20"/>
        </w:rPr>
        <w:t>ell C22)</w:t>
      </w:r>
      <w:r w:rsidR="00937594">
        <w:rPr>
          <w:sz w:val="20"/>
          <w:szCs w:val="20"/>
        </w:rPr>
        <w:t>,</w:t>
      </w:r>
      <w:r w:rsidR="007B0552">
        <w:rPr>
          <w:sz w:val="20"/>
          <w:szCs w:val="20"/>
        </w:rPr>
        <w:t xml:space="preserve"> is </w:t>
      </w:r>
      <w:r w:rsidR="00937594">
        <w:rPr>
          <w:sz w:val="20"/>
          <w:szCs w:val="20"/>
        </w:rPr>
        <w:t xml:space="preserve">country specific </w:t>
      </w:r>
      <w:r w:rsidR="00CD6C52">
        <w:rPr>
          <w:sz w:val="20"/>
          <w:szCs w:val="20"/>
        </w:rPr>
        <w:t>and can be edited by the user</w:t>
      </w:r>
      <w:r w:rsidR="007B0552">
        <w:rPr>
          <w:sz w:val="20"/>
          <w:szCs w:val="20"/>
        </w:rPr>
        <w:t>)?</w:t>
      </w:r>
    </w:p>
    <w:p w14:paraId="672DAA0A" w14:textId="6BE05315" w:rsidR="00C2551A" w:rsidRDefault="00A20FB8" w:rsidP="00C80459">
      <w:pPr>
        <w:ind w:left="720"/>
        <w:rPr>
          <w:sz w:val="20"/>
          <w:szCs w:val="20"/>
        </w:rPr>
      </w:pPr>
      <w:r w:rsidRPr="00C80459">
        <w:rPr>
          <w:sz w:val="20"/>
          <w:szCs w:val="20"/>
          <w:highlight w:val="green"/>
        </w:rPr>
        <w:t xml:space="preserve">Answer to Q5A. Stage durations are </w:t>
      </w:r>
      <w:r w:rsidRPr="00C87BE8">
        <w:rPr>
          <w:sz w:val="20"/>
          <w:szCs w:val="20"/>
          <w:highlight w:val="green"/>
        </w:rPr>
        <w:t xml:space="preserve">biomedical parameters, which in principle </w:t>
      </w:r>
      <w:r w:rsidR="003E332A" w:rsidRPr="00C87BE8">
        <w:rPr>
          <w:sz w:val="20"/>
          <w:szCs w:val="20"/>
          <w:highlight w:val="green"/>
        </w:rPr>
        <w:t xml:space="preserve">do </w:t>
      </w:r>
      <w:r w:rsidRPr="00C87BE8">
        <w:rPr>
          <w:sz w:val="20"/>
          <w:szCs w:val="20"/>
          <w:highlight w:val="green"/>
        </w:rPr>
        <w:t>not vary between populations or countries. However, the duration of the Latent stage (</w:t>
      </w:r>
      <w:r w:rsidR="003E332A" w:rsidRPr="00C87BE8">
        <w:rPr>
          <w:sz w:val="20"/>
          <w:szCs w:val="20"/>
          <w:highlight w:val="green"/>
        </w:rPr>
        <w:t>R</w:t>
      </w:r>
      <w:r w:rsidRPr="00C87BE8">
        <w:rPr>
          <w:sz w:val="20"/>
          <w:szCs w:val="20"/>
          <w:highlight w:val="green"/>
        </w:rPr>
        <w:t xml:space="preserve">ow 22) reflects </w:t>
      </w:r>
      <w:r w:rsidR="00C87BE8" w:rsidRPr="00C87BE8">
        <w:rPr>
          <w:sz w:val="20"/>
          <w:szCs w:val="20"/>
          <w:highlight w:val="green"/>
        </w:rPr>
        <w:t>the natural history interacting with country-specific rates of incidental cure of the syphilis infection, due to antibiotic treatment of other conditions (e.g. pneumonia). Therefore, in countries with high access and usage of (exposure to) antibiotics, this duration will on average be shorter</w:t>
      </w:r>
      <w:r w:rsidR="00C87BE8">
        <w:rPr>
          <w:sz w:val="20"/>
          <w:szCs w:val="20"/>
          <w:highlight w:val="green"/>
        </w:rPr>
        <w:t xml:space="preserve"> – independent of their coverage of syphilis-specific treatment and screening</w:t>
      </w:r>
      <w:r w:rsidR="00C87BE8" w:rsidRPr="00C87BE8">
        <w:rPr>
          <w:sz w:val="20"/>
          <w:szCs w:val="20"/>
          <w:highlight w:val="green"/>
        </w:rPr>
        <w:t>.</w:t>
      </w:r>
    </w:p>
    <w:p w14:paraId="1243ADC4" w14:textId="77777777" w:rsidR="00A20FB8" w:rsidRDefault="00A20FB8" w:rsidP="00A226DF">
      <w:pPr>
        <w:rPr>
          <w:sz w:val="20"/>
          <w:szCs w:val="20"/>
        </w:rPr>
      </w:pPr>
    </w:p>
    <w:p w14:paraId="323CF588" w14:textId="313F176A" w:rsidR="007B0552" w:rsidRPr="00C80459" w:rsidRDefault="00DC66DE" w:rsidP="00DC66DE">
      <w:pPr>
        <w:ind w:left="720"/>
        <w:rPr>
          <w:sz w:val="20"/>
          <w:szCs w:val="20"/>
        </w:rPr>
      </w:pPr>
      <w:r w:rsidRPr="00C80459">
        <w:rPr>
          <w:sz w:val="20"/>
          <w:szCs w:val="20"/>
        </w:rPr>
        <w:t>Q</w:t>
      </w:r>
      <w:r w:rsidR="003B542E" w:rsidRPr="00C80459">
        <w:rPr>
          <w:sz w:val="20"/>
          <w:szCs w:val="20"/>
        </w:rPr>
        <w:t>5</w:t>
      </w:r>
      <w:r w:rsidR="00C80459">
        <w:rPr>
          <w:sz w:val="20"/>
          <w:szCs w:val="20"/>
        </w:rPr>
        <w:t>B</w:t>
      </w:r>
      <w:r w:rsidR="003B542E" w:rsidRPr="00C80459">
        <w:rPr>
          <w:sz w:val="20"/>
          <w:szCs w:val="20"/>
        </w:rPr>
        <w:t>.</w:t>
      </w:r>
      <w:r w:rsidR="007B0552" w:rsidRPr="00C80459">
        <w:rPr>
          <w:sz w:val="20"/>
          <w:szCs w:val="20"/>
        </w:rPr>
        <w:t xml:space="preserve"> Why are the transmission probabilities indicated as user-editable?</w:t>
      </w:r>
      <w:r w:rsidR="00003234">
        <w:rPr>
          <w:sz w:val="20"/>
          <w:szCs w:val="20"/>
        </w:rPr>
        <w:t xml:space="preserve"> And w</w:t>
      </w:r>
      <w:r w:rsidR="007B0552" w:rsidRPr="00C80459">
        <w:rPr>
          <w:sz w:val="20"/>
          <w:szCs w:val="20"/>
        </w:rPr>
        <w:t>h</w:t>
      </w:r>
      <w:r w:rsidR="00003234">
        <w:rPr>
          <w:sz w:val="20"/>
          <w:szCs w:val="20"/>
        </w:rPr>
        <w:t>at</w:t>
      </w:r>
      <w:r w:rsidR="007B0552" w:rsidRPr="00C80459">
        <w:rPr>
          <w:sz w:val="20"/>
          <w:szCs w:val="20"/>
        </w:rPr>
        <w:t xml:space="preserve"> setting-specific determinants of transmission probabilities </w:t>
      </w:r>
      <w:r w:rsidR="00003234">
        <w:rPr>
          <w:sz w:val="20"/>
          <w:szCs w:val="20"/>
        </w:rPr>
        <w:t>may influence the values</w:t>
      </w:r>
      <w:r w:rsidR="007B0552" w:rsidRPr="00C80459">
        <w:rPr>
          <w:sz w:val="20"/>
          <w:szCs w:val="20"/>
        </w:rPr>
        <w:t>?</w:t>
      </w:r>
    </w:p>
    <w:p w14:paraId="585BFC6A" w14:textId="5A6413F3" w:rsidR="00DC66DE" w:rsidRPr="00C80459" w:rsidRDefault="00DC66DE" w:rsidP="00DC66DE">
      <w:pPr>
        <w:ind w:left="720"/>
        <w:rPr>
          <w:sz w:val="20"/>
          <w:szCs w:val="20"/>
        </w:rPr>
      </w:pPr>
      <w:r w:rsidRPr="00C80459">
        <w:rPr>
          <w:sz w:val="20"/>
          <w:szCs w:val="20"/>
          <w:highlight w:val="green"/>
        </w:rPr>
        <w:t>Answer to Q</w:t>
      </w:r>
      <w:r w:rsidR="003B542E" w:rsidRPr="00C80459">
        <w:rPr>
          <w:sz w:val="20"/>
          <w:szCs w:val="20"/>
          <w:highlight w:val="green"/>
        </w:rPr>
        <w:t>5</w:t>
      </w:r>
      <w:r w:rsidR="00C80459">
        <w:rPr>
          <w:sz w:val="20"/>
          <w:szCs w:val="20"/>
          <w:highlight w:val="green"/>
        </w:rPr>
        <w:t>B</w:t>
      </w:r>
      <w:r w:rsidR="003B542E" w:rsidRPr="00C80459">
        <w:rPr>
          <w:sz w:val="20"/>
          <w:szCs w:val="20"/>
          <w:highlight w:val="green"/>
        </w:rPr>
        <w:t>.</w:t>
      </w:r>
      <w:r w:rsidRPr="00C80459">
        <w:rPr>
          <w:sz w:val="20"/>
          <w:szCs w:val="20"/>
          <w:highlight w:val="green"/>
        </w:rPr>
        <w:t xml:space="preserve"> </w:t>
      </w:r>
      <w:r w:rsidR="00003234">
        <w:rPr>
          <w:sz w:val="20"/>
          <w:szCs w:val="20"/>
          <w:highlight w:val="green"/>
        </w:rPr>
        <w:t>S</w:t>
      </w:r>
      <w:r w:rsidRPr="00C80459">
        <w:rPr>
          <w:sz w:val="20"/>
          <w:szCs w:val="20"/>
          <w:highlight w:val="green"/>
        </w:rPr>
        <w:t>exual practices, coinfections with other STIs (e.g. HIV/STI acting as cofactor mutually facilitating transmission) and general health status</w:t>
      </w:r>
      <w:r w:rsidR="00003234">
        <w:rPr>
          <w:sz w:val="20"/>
          <w:szCs w:val="20"/>
          <w:highlight w:val="green"/>
        </w:rPr>
        <w:t xml:space="preserve"> vary between countries and may all have an impact on </w:t>
      </w:r>
      <w:r w:rsidR="00003234" w:rsidRPr="00C80459">
        <w:rPr>
          <w:sz w:val="20"/>
          <w:szCs w:val="20"/>
          <w:highlight w:val="green"/>
        </w:rPr>
        <w:t>transmission rates</w:t>
      </w:r>
      <w:r w:rsidRPr="00C80459">
        <w:rPr>
          <w:sz w:val="20"/>
          <w:szCs w:val="20"/>
          <w:highlight w:val="green"/>
        </w:rPr>
        <w:t>.</w:t>
      </w:r>
    </w:p>
    <w:p w14:paraId="72821669" w14:textId="0C9CAC5B" w:rsidR="007B0552" w:rsidRDefault="007B0552" w:rsidP="00A226DF">
      <w:pPr>
        <w:rPr>
          <w:sz w:val="20"/>
          <w:szCs w:val="20"/>
        </w:rPr>
      </w:pPr>
    </w:p>
    <w:p w14:paraId="718CD681" w14:textId="3D872E5F" w:rsidR="00937594" w:rsidRDefault="00937594" w:rsidP="00A226DF">
      <w:pPr>
        <w:rPr>
          <w:sz w:val="20"/>
          <w:szCs w:val="20"/>
          <w:u w:val="single"/>
        </w:rPr>
      </w:pPr>
      <w:r w:rsidRPr="00937594">
        <w:rPr>
          <w:sz w:val="20"/>
          <w:szCs w:val="20"/>
          <w:u w:val="single"/>
        </w:rPr>
        <w:t xml:space="preserve">Sheet </w:t>
      </w:r>
      <w:proofErr w:type="spellStart"/>
      <w:r w:rsidRPr="00937594">
        <w:rPr>
          <w:b/>
          <w:bCs/>
          <w:i/>
          <w:iCs/>
          <w:sz w:val="20"/>
          <w:szCs w:val="20"/>
          <w:u w:val="single"/>
        </w:rPr>
        <w:t>Screen</w:t>
      </w:r>
      <w:r w:rsidR="00145491">
        <w:rPr>
          <w:b/>
          <w:bCs/>
          <w:i/>
          <w:iCs/>
          <w:sz w:val="20"/>
          <w:szCs w:val="20"/>
          <w:u w:val="single"/>
        </w:rPr>
        <w:t>+Treat</w:t>
      </w:r>
      <w:proofErr w:type="spellEnd"/>
    </w:p>
    <w:p w14:paraId="237A1E7A" w14:textId="70F0B718" w:rsidR="006467BA" w:rsidRPr="00454D74" w:rsidRDefault="00454D74" w:rsidP="00A226DF">
      <w:pPr>
        <w:rPr>
          <w:b/>
          <w:bCs/>
          <w:i/>
          <w:iCs/>
          <w:sz w:val="20"/>
          <w:szCs w:val="20"/>
        </w:rPr>
      </w:pPr>
      <w:r>
        <w:rPr>
          <w:sz w:val="20"/>
          <w:szCs w:val="20"/>
        </w:rPr>
        <w:t>Review</w:t>
      </w:r>
      <w:r w:rsidR="006467BA">
        <w:rPr>
          <w:sz w:val="20"/>
          <w:szCs w:val="20"/>
        </w:rPr>
        <w:t xml:space="preserve"> </w:t>
      </w:r>
      <w:r>
        <w:rPr>
          <w:sz w:val="20"/>
          <w:szCs w:val="20"/>
        </w:rPr>
        <w:t xml:space="preserve">the </w:t>
      </w:r>
      <w:r w:rsidR="0014081D">
        <w:rPr>
          <w:sz w:val="20"/>
          <w:szCs w:val="20"/>
        </w:rPr>
        <w:t>coverage</w:t>
      </w:r>
      <w:r w:rsidR="006467BA">
        <w:rPr>
          <w:sz w:val="20"/>
          <w:szCs w:val="20"/>
        </w:rPr>
        <w:t xml:space="preserve"> Screening with ‘</w:t>
      </w:r>
      <w:r w:rsidR="006467BA" w:rsidRPr="00A658CF">
        <w:rPr>
          <w:b/>
          <w:bCs/>
          <w:i/>
          <w:iCs/>
          <w:sz w:val="20"/>
          <w:szCs w:val="20"/>
        </w:rPr>
        <w:t>RPR&amp;TPHA or RPR only’</w:t>
      </w:r>
      <w:r>
        <w:rPr>
          <w:sz w:val="20"/>
          <w:szCs w:val="20"/>
        </w:rPr>
        <w:t xml:space="preserve"> (Rows 3-16)</w:t>
      </w:r>
    </w:p>
    <w:p w14:paraId="107E2C00" w14:textId="3A0C82C1" w:rsidR="007B0552" w:rsidRDefault="006467BA" w:rsidP="00A226DF">
      <w:pPr>
        <w:rPr>
          <w:sz w:val="20"/>
          <w:szCs w:val="20"/>
        </w:rPr>
      </w:pPr>
      <w:r>
        <w:rPr>
          <w:sz w:val="20"/>
          <w:szCs w:val="20"/>
        </w:rPr>
        <w:t>Note</w:t>
      </w:r>
      <w:r w:rsidR="00454D74">
        <w:rPr>
          <w:sz w:val="20"/>
          <w:szCs w:val="20"/>
        </w:rPr>
        <w:t>:</w:t>
      </w:r>
      <w:r>
        <w:rPr>
          <w:sz w:val="20"/>
          <w:szCs w:val="20"/>
        </w:rPr>
        <w:t xml:space="preserve"> </w:t>
      </w:r>
      <w:r w:rsidR="00A658CF">
        <w:rPr>
          <w:sz w:val="20"/>
          <w:szCs w:val="20"/>
        </w:rPr>
        <w:t>A</w:t>
      </w:r>
      <w:r>
        <w:rPr>
          <w:sz w:val="20"/>
          <w:szCs w:val="20"/>
        </w:rPr>
        <w:t xml:space="preserve"> value of</w:t>
      </w:r>
      <w:r w:rsidR="00A658CF">
        <w:rPr>
          <w:sz w:val="20"/>
          <w:szCs w:val="20"/>
        </w:rPr>
        <w:t>, for example,</w:t>
      </w:r>
      <w:r>
        <w:rPr>
          <w:sz w:val="20"/>
          <w:szCs w:val="20"/>
        </w:rPr>
        <w:t xml:space="preserve"> 0.20 means</w:t>
      </w:r>
      <w:r w:rsidR="00454D74">
        <w:rPr>
          <w:sz w:val="20"/>
          <w:szCs w:val="20"/>
        </w:rPr>
        <w:t xml:space="preserve"> </w:t>
      </w:r>
      <w:r>
        <w:rPr>
          <w:sz w:val="20"/>
          <w:szCs w:val="20"/>
        </w:rPr>
        <w:t xml:space="preserve">20% of that population group </w:t>
      </w:r>
      <w:r w:rsidR="00CD6C52">
        <w:rPr>
          <w:sz w:val="20"/>
          <w:szCs w:val="20"/>
        </w:rPr>
        <w:t xml:space="preserve">is </w:t>
      </w:r>
      <w:r>
        <w:rPr>
          <w:sz w:val="20"/>
          <w:szCs w:val="20"/>
        </w:rPr>
        <w:t>screened that year.</w:t>
      </w:r>
    </w:p>
    <w:p w14:paraId="5F3A9CC6" w14:textId="77777777" w:rsidR="004E6DEE" w:rsidRDefault="004E6DEE" w:rsidP="00A226DF">
      <w:pPr>
        <w:rPr>
          <w:sz w:val="20"/>
          <w:szCs w:val="20"/>
        </w:rPr>
      </w:pPr>
    </w:p>
    <w:p w14:paraId="7213A5ED" w14:textId="23FC8A5A" w:rsidR="006467BA" w:rsidRDefault="004E6DEE" w:rsidP="00454D74">
      <w:pPr>
        <w:ind w:left="720"/>
        <w:rPr>
          <w:sz w:val="20"/>
          <w:szCs w:val="20"/>
        </w:rPr>
      </w:pPr>
      <w:r>
        <w:rPr>
          <w:sz w:val="20"/>
          <w:szCs w:val="20"/>
        </w:rPr>
        <w:t>Q</w:t>
      </w:r>
      <w:r w:rsidR="003B542E">
        <w:rPr>
          <w:sz w:val="20"/>
          <w:szCs w:val="20"/>
        </w:rPr>
        <w:t>5</w:t>
      </w:r>
      <w:r w:rsidR="00C80459">
        <w:rPr>
          <w:sz w:val="20"/>
          <w:szCs w:val="20"/>
        </w:rPr>
        <w:t>C</w:t>
      </w:r>
      <w:r w:rsidR="003B542E">
        <w:rPr>
          <w:sz w:val="20"/>
          <w:szCs w:val="20"/>
        </w:rPr>
        <w:t>.</w:t>
      </w:r>
      <w:r>
        <w:rPr>
          <w:sz w:val="20"/>
          <w:szCs w:val="20"/>
        </w:rPr>
        <w:t xml:space="preserve"> </w:t>
      </w:r>
      <w:r w:rsidR="006467BA">
        <w:rPr>
          <w:sz w:val="20"/>
          <w:szCs w:val="20"/>
        </w:rPr>
        <w:t xml:space="preserve">Among </w:t>
      </w:r>
      <w:r w:rsidR="00CD6C52">
        <w:rPr>
          <w:sz w:val="20"/>
          <w:szCs w:val="20"/>
        </w:rPr>
        <w:t>L</w:t>
      </w:r>
      <w:r w:rsidR="006467BA">
        <w:rPr>
          <w:sz w:val="20"/>
          <w:szCs w:val="20"/>
        </w:rPr>
        <w:t>ow-</w:t>
      </w:r>
      <w:r w:rsidR="00CD6C52">
        <w:rPr>
          <w:sz w:val="20"/>
          <w:szCs w:val="20"/>
        </w:rPr>
        <w:t>R</w:t>
      </w:r>
      <w:r w:rsidR="006467BA">
        <w:rPr>
          <w:sz w:val="20"/>
          <w:szCs w:val="20"/>
        </w:rPr>
        <w:t xml:space="preserve">isk </w:t>
      </w:r>
      <w:r w:rsidR="00CD6C52">
        <w:rPr>
          <w:sz w:val="20"/>
          <w:szCs w:val="20"/>
        </w:rPr>
        <w:t>W</w:t>
      </w:r>
      <w:r w:rsidR="006467BA">
        <w:rPr>
          <w:sz w:val="20"/>
          <w:szCs w:val="20"/>
        </w:rPr>
        <w:t xml:space="preserve">omen, </w:t>
      </w:r>
      <w:r>
        <w:rPr>
          <w:sz w:val="20"/>
          <w:szCs w:val="20"/>
        </w:rPr>
        <w:t>in which year(s) does screening coverage increase?</w:t>
      </w:r>
    </w:p>
    <w:p w14:paraId="0B364D96" w14:textId="04594030" w:rsidR="006467BA" w:rsidRDefault="004E6DEE" w:rsidP="00454D74">
      <w:pPr>
        <w:ind w:left="720"/>
        <w:rPr>
          <w:sz w:val="20"/>
          <w:szCs w:val="20"/>
        </w:rPr>
      </w:pPr>
      <w:r w:rsidRPr="004E6DEE">
        <w:rPr>
          <w:sz w:val="20"/>
          <w:szCs w:val="20"/>
          <w:highlight w:val="green"/>
        </w:rPr>
        <w:t>Answer to Q</w:t>
      </w:r>
      <w:r w:rsidR="003B542E">
        <w:rPr>
          <w:sz w:val="20"/>
          <w:szCs w:val="20"/>
          <w:highlight w:val="green"/>
        </w:rPr>
        <w:t>5</w:t>
      </w:r>
      <w:r w:rsidR="00C80459">
        <w:rPr>
          <w:sz w:val="20"/>
          <w:szCs w:val="20"/>
          <w:highlight w:val="green"/>
        </w:rPr>
        <w:t>C</w:t>
      </w:r>
      <w:r w:rsidRPr="004E6DEE">
        <w:rPr>
          <w:sz w:val="20"/>
          <w:szCs w:val="20"/>
          <w:highlight w:val="green"/>
        </w:rPr>
        <w:t>: From 1996 onwards coverage gradually increases until 2015, then it is stable.</w:t>
      </w:r>
    </w:p>
    <w:p w14:paraId="296D3428" w14:textId="77777777" w:rsidR="004E6DEE" w:rsidRDefault="004E6DEE" w:rsidP="00454D74">
      <w:pPr>
        <w:ind w:left="720"/>
        <w:rPr>
          <w:sz w:val="20"/>
          <w:szCs w:val="20"/>
        </w:rPr>
      </w:pPr>
    </w:p>
    <w:p w14:paraId="3AD27E7A" w14:textId="74EDE728" w:rsidR="004E6DEE" w:rsidRDefault="004E6DEE" w:rsidP="00454D74">
      <w:pPr>
        <w:ind w:left="720"/>
        <w:rPr>
          <w:sz w:val="20"/>
          <w:szCs w:val="20"/>
        </w:rPr>
      </w:pPr>
      <w:r>
        <w:rPr>
          <w:sz w:val="20"/>
          <w:szCs w:val="20"/>
        </w:rPr>
        <w:t>Q</w:t>
      </w:r>
      <w:r w:rsidR="003B542E">
        <w:rPr>
          <w:sz w:val="20"/>
          <w:szCs w:val="20"/>
        </w:rPr>
        <w:t>5</w:t>
      </w:r>
      <w:r w:rsidR="00C80459">
        <w:rPr>
          <w:sz w:val="20"/>
          <w:szCs w:val="20"/>
        </w:rPr>
        <w:t>D</w:t>
      </w:r>
      <w:r w:rsidR="003B542E">
        <w:rPr>
          <w:sz w:val="20"/>
          <w:szCs w:val="20"/>
        </w:rPr>
        <w:t>.</w:t>
      </w:r>
      <w:r>
        <w:rPr>
          <w:sz w:val="20"/>
          <w:szCs w:val="20"/>
        </w:rPr>
        <w:t xml:space="preserve"> From the current/default coverage, e.g. 15% in MSM in 2019, how would one specify a coverage of 100% of MSM each twice yearly?</w:t>
      </w:r>
    </w:p>
    <w:p w14:paraId="05D3C8C3" w14:textId="0EAE1C52" w:rsidR="004E6DEE" w:rsidRDefault="004E6DEE" w:rsidP="00454D74">
      <w:pPr>
        <w:ind w:left="720"/>
        <w:rPr>
          <w:sz w:val="20"/>
          <w:szCs w:val="20"/>
        </w:rPr>
      </w:pPr>
      <w:r w:rsidRPr="004E6DEE">
        <w:rPr>
          <w:sz w:val="20"/>
          <w:szCs w:val="20"/>
          <w:highlight w:val="green"/>
        </w:rPr>
        <w:t>Answer to Q</w:t>
      </w:r>
      <w:r w:rsidR="003B542E">
        <w:rPr>
          <w:sz w:val="20"/>
          <w:szCs w:val="20"/>
          <w:highlight w:val="green"/>
        </w:rPr>
        <w:t>5</w:t>
      </w:r>
      <w:r w:rsidR="00C80459">
        <w:rPr>
          <w:sz w:val="20"/>
          <w:szCs w:val="20"/>
          <w:highlight w:val="green"/>
        </w:rPr>
        <w:t>D</w:t>
      </w:r>
      <w:r w:rsidR="003B542E">
        <w:rPr>
          <w:sz w:val="20"/>
          <w:szCs w:val="20"/>
          <w:highlight w:val="green"/>
        </w:rPr>
        <w:t>.</w:t>
      </w:r>
      <w:r w:rsidRPr="004E6DEE">
        <w:rPr>
          <w:sz w:val="20"/>
          <w:szCs w:val="20"/>
          <w:highlight w:val="green"/>
        </w:rPr>
        <w:t xml:space="preserve"> </w:t>
      </w:r>
      <w:r>
        <w:rPr>
          <w:sz w:val="20"/>
          <w:szCs w:val="20"/>
          <w:highlight w:val="green"/>
        </w:rPr>
        <w:t>As 2.0 or as 200%</w:t>
      </w:r>
      <w:r w:rsidRPr="004E6DEE">
        <w:rPr>
          <w:sz w:val="20"/>
          <w:szCs w:val="20"/>
          <w:highlight w:val="green"/>
        </w:rPr>
        <w:t>.</w:t>
      </w:r>
    </w:p>
    <w:p w14:paraId="1ECEFA5F" w14:textId="685F3643" w:rsidR="004E6DEE" w:rsidRDefault="004E6DEE" w:rsidP="00A226DF">
      <w:pPr>
        <w:rPr>
          <w:sz w:val="20"/>
          <w:szCs w:val="20"/>
        </w:rPr>
      </w:pPr>
    </w:p>
    <w:p w14:paraId="27B19390" w14:textId="13CDBAEA" w:rsidR="003D2F65" w:rsidRDefault="003D2F65" w:rsidP="00A226DF">
      <w:pPr>
        <w:rPr>
          <w:sz w:val="20"/>
          <w:szCs w:val="20"/>
        </w:rPr>
      </w:pPr>
      <w:r>
        <w:rPr>
          <w:sz w:val="20"/>
          <w:szCs w:val="20"/>
        </w:rPr>
        <w:t>Review Clinical treatment coverage, the</w:t>
      </w:r>
      <w:r w:rsidRPr="003D2F65">
        <w:t xml:space="preserve"> </w:t>
      </w:r>
      <w:r w:rsidRPr="003D2F65">
        <w:rPr>
          <w:b/>
          <w:bCs/>
          <w:i/>
          <w:iCs/>
          <w:sz w:val="20"/>
          <w:szCs w:val="20"/>
        </w:rPr>
        <w:t>Proportion Treated, of Symptomatic Cases of Primary/Secondary syphilis</w:t>
      </w:r>
      <w:r>
        <w:rPr>
          <w:sz w:val="20"/>
          <w:szCs w:val="20"/>
        </w:rPr>
        <w:t xml:space="preserve"> (</w:t>
      </w:r>
      <w:r w:rsidR="00454D74">
        <w:rPr>
          <w:sz w:val="20"/>
          <w:szCs w:val="20"/>
        </w:rPr>
        <w:t>Rows</w:t>
      </w:r>
      <w:r>
        <w:rPr>
          <w:sz w:val="20"/>
          <w:szCs w:val="20"/>
        </w:rPr>
        <w:t xml:space="preserve"> 35-46). </w:t>
      </w:r>
    </w:p>
    <w:p w14:paraId="0371AFA1" w14:textId="2AED6210" w:rsidR="003D2F65" w:rsidRDefault="003D2F65" w:rsidP="00A226DF">
      <w:pPr>
        <w:rPr>
          <w:sz w:val="20"/>
          <w:szCs w:val="20"/>
        </w:rPr>
      </w:pPr>
    </w:p>
    <w:p w14:paraId="6FD7C7AB" w14:textId="13BF6614" w:rsidR="003D2F65" w:rsidRDefault="00CD1256" w:rsidP="00454D74">
      <w:pPr>
        <w:ind w:left="720"/>
        <w:rPr>
          <w:sz w:val="20"/>
          <w:szCs w:val="20"/>
        </w:rPr>
      </w:pPr>
      <w:r>
        <w:rPr>
          <w:sz w:val="20"/>
          <w:szCs w:val="20"/>
        </w:rPr>
        <w:t>Q</w:t>
      </w:r>
      <w:r w:rsidR="003B542E">
        <w:rPr>
          <w:sz w:val="20"/>
          <w:szCs w:val="20"/>
        </w:rPr>
        <w:t>5</w:t>
      </w:r>
      <w:r w:rsidR="00C80459">
        <w:rPr>
          <w:sz w:val="20"/>
          <w:szCs w:val="20"/>
        </w:rPr>
        <w:t>E</w:t>
      </w:r>
      <w:r w:rsidR="003B542E">
        <w:rPr>
          <w:sz w:val="20"/>
          <w:szCs w:val="20"/>
        </w:rPr>
        <w:t>.</w:t>
      </w:r>
      <w:r>
        <w:rPr>
          <w:sz w:val="20"/>
          <w:szCs w:val="20"/>
        </w:rPr>
        <w:t xml:space="preserve"> </w:t>
      </w:r>
      <w:r w:rsidR="003D2F65">
        <w:rPr>
          <w:sz w:val="20"/>
          <w:szCs w:val="20"/>
        </w:rPr>
        <w:t xml:space="preserve">Why is there a second set of clinical treatment coverages below, </w:t>
      </w:r>
      <w:r w:rsidR="003D2F65" w:rsidRPr="003D2F65">
        <w:rPr>
          <w:sz w:val="20"/>
          <w:szCs w:val="20"/>
        </w:rPr>
        <w:t xml:space="preserve">the </w:t>
      </w:r>
      <w:r w:rsidR="003D2F65" w:rsidRPr="003D2F65">
        <w:rPr>
          <w:b/>
          <w:bCs/>
          <w:i/>
          <w:iCs/>
          <w:sz w:val="20"/>
          <w:szCs w:val="20"/>
        </w:rPr>
        <w:t xml:space="preserve">Proportion of </w:t>
      </w:r>
      <w:proofErr w:type="spellStart"/>
      <w:r w:rsidR="003D2F65" w:rsidRPr="003D2F65">
        <w:rPr>
          <w:b/>
          <w:bCs/>
          <w:i/>
          <w:iCs/>
          <w:sz w:val="20"/>
          <w:szCs w:val="20"/>
        </w:rPr>
        <w:t>Primary+Secondary</w:t>
      </w:r>
      <w:proofErr w:type="spellEnd"/>
      <w:r w:rsidR="003D2F65" w:rsidRPr="003D2F65">
        <w:rPr>
          <w:b/>
          <w:bCs/>
          <w:i/>
          <w:iCs/>
          <w:sz w:val="20"/>
          <w:szCs w:val="20"/>
        </w:rPr>
        <w:t xml:space="preserve"> cases treated due to symptoms</w:t>
      </w:r>
      <w:r w:rsidR="003D2F65" w:rsidRPr="003D2F65">
        <w:rPr>
          <w:i/>
          <w:iCs/>
          <w:sz w:val="20"/>
          <w:szCs w:val="20"/>
        </w:rPr>
        <w:t>,</w:t>
      </w:r>
      <w:r w:rsidR="003D2F65">
        <w:rPr>
          <w:sz w:val="20"/>
          <w:szCs w:val="20"/>
        </w:rPr>
        <w:t xml:space="preserve"> in </w:t>
      </w:r>
      <w:r w:rsidR="00C80459">
        <w:rPr>
          <w:sz w:val="20"/>
          <w:szCs w:val="20"/>
        </w:rPr>
        <w:t>Cells B</w:t>
      </w:r>
      <w:r w:rsidR="003D2F65">
        <w:rPr>
          <w:sz w:val="20"/>
          <w:szCs w:val="20"/>
        </w:rPr>
        <w:t>4</w:t>
      </w:r>
      <w:r w:rsidR="00C80459">
        <w:rPr>
          <w:sz w:val="20"/>
          <w:szCs w:val="20"/>
        </w:rPr>
        <w:t>8</w:t>
      </w:r>
      <w:r w:rsidR="003D2F65">
        <w:rPr>
          <w:sz w:val="20"/>
          <w:szCs w:val="20"/>
        </w:rPr>
        <w:t>-</w:t>
      </w:r>
      <w:r w:rsidR="00C80459">
        <w:rPr>
          <w:sz w:val="20"/>
          <w:szCs w:val="20"/>
        </w:rPr>
        <w:t>CD5</w:t>
      </w:r>
      <w:r w:rsidR="003D2F65">
        <w:rPr>
          <w:sz w:val="20"/>
          <w:szCs w:val="20"/>
        </w:rPr>
        <w:t>6?</w:t>
      </w:r>
      <w:r>
        <w:rPr>
          <w:sz w:val="20"/>
          <w:szCs w:val="20"/>
        </w:rPr>
        <w:t xml:space="preserve"> Why are these values grey, i.e. not to be edited by the user? Why do the formulas in </w:t>
      </w:r>
      <w:r w:rsidR="0043762E">
        <w:rPr>
          <w:sz w:val="20"/>
          <w:szCs w:val="20"/>
        </w:rPr>
        <w:t>C</w:t>
      </w:r>
      <w:r>
        <w:rPr>
          <w:sz w:val="20"/>
          <w:szCs w:val="20"/>
        </w:rPr>
        <w:t>ells B51 to CD60 link to sheet ‘Parameters’?</w:t>
      </w:r>
    </w:p>
    <w:p w14:paraId="46947663" w14:textId="30A93B40" w:rsidR="003D2F65" w:rsidRDefault="003D2F65" w:rsidP="00454D74">
      <w:pPr>
        <w:ind w:left="720"/>
        <w:rPr>
          <w:sz w:val="20"/>
          <w:szCs w:val="20"/>
        </w:rPr>
      </w:pPr>
    </w:p>
    <w:p w14:paraId="55AF0744" w14:textId="361DD68E" w:rsidR="00CD1256" w:rsidRDefault="00CD1256" w:rsidP="00454D74">
      <w:pPr>
        <w:ind w:left="720"/>
        <w:rPr>
          <w:sz w:val="20"/>
          <w:szCs w:val="20"/>
          <w:highlight w:val="green"/>
        </w:rPr>
      </w:pPr>
      <w:r w:rsidRPr="004E6DEE">
        <w:rPr>
          <w:sz w:val="20"/>
          <w:szCs w:val="20"/>
          <w:highlight w:val="green"/>
        </w:rPr>
        <w:t>Answer to Q</w:t>
      </w:r>
      <w:r w:rsidR="003B542E">
        <w:rPr>
          <w:sz w:val="20"/>
          <w:szCs w:val="20"/>
          <w:highlight w:val="green"/>
        </w:rPr>
        <w:t>5</w:t>
      </w:r>
      <w:r w:rsidR="00C80459">
        <w:rPr>
          <w:sz w:val="20"/>
          <w:szCs w:val="20"/>
          <w:highlight w:val="green"/>
        </w:rPr>
        <w:t>E</w:t>
      </w:r>
      <w:r w:rsidR="003B542E">
        <w:rPr>
          <w:sz w:val="20"/>
          <w:szCs w:val="20"/>
          <w:highlight w:val="green"/>
        </w:rPr>
        <w:t>.</w:t>
      </w:r>
      <w:r w:rsidRPr="004E6DEE">
        <w:rPr>
          <w:sz w:val="20"/>
          <w:szCs w:val="20"/>
          <w:highlight w:val="green"/>
        </w:rPr>
        <w:t xml:space="preserve"> </w:t>
      </w:r>
      <w:r>
        <w:rPr>
          <w:sz w:val="20"/>
          <w:szCs w:val="20"/>
          <w:highlight w:val="green"/>
        </w:rPr>
        <w:t xml:space="preserve">Clinical treatment coverage is specified as the product of: </w:t>
      </w:r>
    </w:p>
    <w:p w14:paraId="742007B3" w14:textId="5A7B3EC4" w:rsidR="00CD1256" w:rsidRPr="00CD1256" w:rsidRDefault="00CD1256" w:rsidP="00454D74">
      <w:pPr>
        <w:pStyle w:val="ListParagraph"/>
        <w:numPr>
          <w:ilvl w:val="0"/>
          <w:numId w:val="2"/>
        </w:numPr>
        <w:ind w:left="1080"/>
        <w:rPr>
          <w:sz w:val="20"/>
          <w:szCs w:val="20"/>
          <w:highlight w:val="green"/>
        </w:rPr>
      </w:pPr>
      <w:r w:rsidRPr="00CD1256">
        <w:rPr>
          <w:sz w:val="20"/>
          <w:szCs w:val="20"/>
          <w:highlight w:val="green"/>
        </w:rPr>
        <w:t xml:space="preserve">Proportion of symptomatic </w:t>
      </w:r>
      <w:proofErr w:type="spellStart"/>
      <w:r w:rsidRPr="00CD1256">
        <w:rPr>
          <w:sz w:val="20"/>
          <w:szCs w:val="20"/>
          <w:highlight w:val="green"/>
        </w:rPr>
        <w:t>Primary+Secondary</w:t>
      </w:r>
      <w:proofErr w:type="spellEnd"/>
      <w:r w:rsidRPr="00CD1256">
        <w:rPr>
          <w:sz w:val="20"/>
          <w:szCs w:val="20"/>
          <w:highlight w:val="green"/>
        </w:rPr>
        <w:t xml:space="preserve"> cases treated  (sheet </w:t>
      </w:r>
      <w:proofErr w:type="spellStart"/>
      <w:r w:rsidRPr="00CD1256">
        <w:rPr>
          <w:sz w:val="20"/>
          <w:szCs w:val="20"/>
          <w:highlight w:val="green"/>
        </w:rPr>
        <w:t>ScreeningRates</w:t>
      </w:r>
      <w:proofErr w:type="spellEnd"/>
      <w:r w:rsidRPr="00CD1256">
        <w:rPr>
          <w:sz w:val="20"/>
          <w:szCs w:val="20"/>
          <w:highlight w:val="green"/>
        </w:rPr>
        <w:t>)</w:t>
      </w:r>
    </w:p>
    <w:p w14:paraId="3E32F065" w14:textId="3BA69918" w:rsidR="00CD1256" w:rsidRPr="00CD1256" w:rsidRDefault="00CD1256" w:rsidP="00454D74">
      <w:pPr>
        <w:pStyle w:val="ListParagraph"/>
        <w:numPr>
          <w:ilvl w:val="0"/>
          <w:numId w:val="2"/>
        </w:numPr>
        <w:ind w:left="1080"/>
        <w:rPr>
          <w:sz w:val="20"/>
          <w:szCs w:val="20"/>
          <w:highlight w:val="green"/>
        </w:rPr>
      </w:pPr>
      <w:r w:rsidRPr="00CD1256">
        <w:rPr>
          <w:sz w:val="20"/>
          <w:szCs w:val="20"/>
          <w:highlight w:val="green"/>
        </w:rPr>
        <w:lastRenderedPageBreak/>
        <w:t xml:space="preserve">Proportion of </w:t>
      </w:r>
      <w:proofErr w:type="spellStart"/>
      <w:r w:rsidRPr="00CD1256">
        <w:rPr>
          <w:sz w:val="20"/>
          <w:szCs w:val="20"/>
          <w:highlight w:val="green"/>
        </w:rPr>
        <w:t>Primary+Secondary</w:t>
      </w:r>
      <w:proofErr w:type="spellEnd"/>
      <w:r w:rsidRPr="00CD1256">
        <w:rPr>
          <w:sz w:val="20"/>
          <w:szCs w:val="20"/>
          <w:highlight w:val="green"/>
        </w:rPr>
        <w:t xml:space="preserve"> Syphilis cases that are symptomatic (sheet Parameters)</w:t>
      </w:r>
      <w:r>
        <w:rPr>
          <w:sz w:val="20"/>
          <w:szCs w:val="20"/>
          <w:highlight w:val="green"/>
        </w:rPr>
        <w:t>.</w:t>
      </w:r>
    </w:p>
    <w:p w14:paraId="6752C723" w14:textId="64002C3C" w:rsidR="00CD1256" w:rsidRDefault="00CD1256" w:rsidP="00454D74">
      <w:pPr>
        <w:ind w:left="720"/>
        <w:rPr>
          <w:sz w:val="20"/>
          <w:szCs w:val="20"/>
        </w:rPr>
      </w:pPr>
    </w:p>
    <w:p w14:paraId="539CA6C8" w14:textId="7A29C5FB" w:rsidR="00454D74" w:rsidRPr="00DC66DE" w:rsidRDefault="00937594" w:rsidP="00A226DF">
      <w:pPr>
        <w:rPr>
          <w:sz w:val="20"/>
          <w:szCs w:val="20"/>
          <w:u w:val="single"/>
        </w:rPr>
      </w:pPr>
      <w:r w:rsidRPr="00937594">
        <w:rPr>
          <w:sz w:val="20"/>
          <w:szCs w:val="20"/>
          <w:u w:val="single"/>
        </w:rPr>
        <w:t xml:space="preserve">Sheet </w:t>
      </w:r>
      <w:proofErr w:type="spellStart"/>
      <w:r w:rsidRPr="00937594">
        <w:rPr>
          <w:b/>
          <w:bCs/>
          <w:i/>
          <w:iCs/>
          <w:sz w:val="20"/>
          <w:szCs w:val="20"/>
          <w:u w:val="single"/>
        </w:rPr>
        <w:t>ContactTracing</w:t>
      </w:r>
      <w:proofErr w:type="spellEnd"/>
    </w:p>
    <w:p w14:paraId="3841775B" w14:textId="0C45EF7C" w:rsidR="009E5783" w:rsidRDefault="00C80459" w:rsidP="00A226DF">
      <w:pPr>
        <w:rPr>
          <w:sz w:val="20"/>
          <w:szCs w:val="20"/>
        </w:rPr>
      </w:pPr>
      <w:r>
        <w:rPr>
          <w:sz w:val="20"/>
          <w:szCs w:val="20"/>
        </w:rPr>
        <w:t>For each of the 7 risk groups, t</w:t>
      </w:r>
      <w:r w:rsidR="0066480F">
        <w:rPr>
          <w:sz w:val="20"/>
          <w:szCs w:val="20"/>
        </w:rPr>
        <w:t>he effective coverage</w:t>
      </w:r>
      <w:r>
        <w:rPr>
          <w:sz w:val="20"/>
          <w:szCs w:val="20"/>
        </w:rPr>
        <w:t xml:space="preserve"> of contact tracing</w:t>
      </w:r>
      <w:r w:rsidR="0066480F">
        <w:rPr>
          <w:sz w:val="20"/>
          <w:szCs w:val="20"/>
        </w:rPr>
        <w:t xml:space="preserve"> is the product of:</w:t>
      </w:r>
    </w:p>
    <w:p w14:paraId="5C9209B5" w14:textId="45505151" w:rsidR="0066480F" w:rsidRPr="0066480F" w:rsidRDefault="0066480F" w:rsidP="0066480F">
      <w:pPr>
        <w:pStyle w:val="ListParagraph"/>
        <w:numPr>
          <w:ilvl w:val="0"/>
          <w:numId w:val="3"/>
        </w:numPr>
        <w:rPr>
          <w:b/>
          <w:bCs/>
          <w:i/>
          <w:iCs/>
          <w:sz w:val="20"/>
          <w:szCs w:val="20"/>
        </w:rPr>
      </w:pPr>
      <w:r w:rsidRPr="0066480F">
        <w:rPr>
          <w:b/>
          <w:bCs/>
          <w:i/>
          <w:iCs/>
          <w:sz w:val="20"/>
          <w:szCs w:val="20"/>
        </w:rPr>
        <w:t xml:space="preserve">% of index cases (treated in Prim_Sec) offered contact tracing </w:t>
      </w:r>
      <w:r w:rsidR="00454D74">
        <w:rPr>
          <w:sz w:val="20"/>
          <w:szCs w:val="20"/>
        </w:rPr>
        <w:t>and</w:t>
      </w:r>
    </w:p>
    <w:p w14:paraId="39B2F871" w14:textId="29BCECDA" w:rsidR="0066480F" w:rsidRPr="0066480F" w:rsidRDefault="0066480F" w:rsidP="0066480F">
      <w:pPr>
        <w:pStyle w:val="ListParagraph"/>
        <w:numPr>
          <w:ilvl w:val="0"/>
          <w:numId w:val="3"/>
        </w:numPr>
        <w:rPr>
          <w:b/>
          <w:bCs/>
          <w:i/>
          <w:iCs/>
          <w:sz w:val="20"/>
          <w:szCs w:val="20"/>
        </w:rPr>
      </w:pPr>
      <w:r w:rsidRPr="0066480F">
        <w:rPr>
          <w:sz w:val="20"/>
          <w:szCs w:val="20"/>
        </w:rPr>
        <w:t xml:space="preserve"> </w:t>
      </w:r>
      <w:r w:rsidRPr="0066480F">
        <w:rPr>
          <w:b/>
          <w:bCs/>
          <w:i/>
          <w:iCs/>
          <w:sz w:val="20"/>
          <w:szCs w:val="20"/>
        </w:rPr>
        <w:t>% of partners traced, from index cases offered contact tracing, by group of index case</w:t>
      </w:r>
    </w:p>
    <w:p w14:paraId="29F6958F" w14:textId="0F3893D7" w:rsidR="009E5783" w:rsidRDefault="009E5783" w:rsidP="00A226DF">
      <w:pPr>
        <w:rPr>
          <w:sz w:val="20"/>
          <w:szCs w:val="20"/>
        </w:rPr>
      </w:pPr>
    </w:p>
    <w:p w14:paraId="61C334A8" w14:textId="2E70B631" w:rsidR="0066480F" w:rsidRPr="0066480F" w:rsidRDefault="00454D74" w:rsidP="00145491">
      <w:pPr>
        <w:rPr>
          <w:sz w:val="20"/>
          <w:szCs w:val="20"/>
        </w:rPr>
      </w:pPr>
      <w:r>
        <w:rPr>
          <w:sz w:val="20"/>
          <w:szCs w:val="20"/>
        </w:rPr>
        <w:t>C</w:t>
      </w:r>
      <w:r w:rsidR="0066480F" w:rsidRPr="0066480F">
        <w:rPr>
          <w:sz w:val="20"/>
          <w:szCs w:val="20"/>
        </w:rPr>
        <w:t xml:space="preserve">hange in </w:t>
      </w:r>
      <w:r>
        <w:rPr>
          <w:sz w:val="20"/>
          <w:szCs w:val="20"/>
        </w:rPr>
        <w:t>Y</w:t>
      </w:r>
      <w:r w:rsidR="0066480F" w:rsidRPr="0066480F">
        <w:rPr>
          <w:sz w:val="20"/>
          <w:szCs w:val="20"/>
        </w:rPr>
        <w:t xml:space="preserve">ear 2021 the </w:t>
      </w:r>
      <w:r w:rsidR="0066480F" w:rsidRPr="0066480F">
        <w:rPr>
          <w:b/>
          <w:bCs/>
          <w:i/>
          <w:iCs/>
          <w:sz w:val="20"/>
          <w:szCs w:val="20"/>
        </w:rPr>
        <w:t xml:space="preserve">% of index cases (treated in Prim_Sec) offered contact tracing </w:t>
      </w:r>
      <w:r w:rsidR="0066480F" w:rsidRPr="0066480F">
        <w:rPr>
          <w:sz w:val="20"/>
          <w:szCs w:val="20"/>
        </w:rPr>
        <w:t xml:space="preserve">from </w:t>
      </w:r>
      <w:r>
        <w:rPr>
          <w:sz w:val="20"/>
          <w:szCs w:val="20"/>
        </w:rPr>
        <w:t xml:space="preserve">the </w:t>
      </w:r>
      <w:r w:rsidR="0066480F" w:rsidRPr="0066480F">
        <w:rPr>
          <w:sz w:val="20"/>
          <w:szCs w:val="20"/>
        </w:rPr>
        <w:t xml:space="preserve">default </w:t>
      </w:r>
      <w:r>
        <w:rPr>
          <w:sz w:val="20"/>
          <w:szCs w:val="20"/>
        </w:rPr>
        <w:t xml:space="preserve">value of </w:t>
      </w:r>
      <w:r w:rsidR="0066480F" w:rsidRPr="0066480F">
        <w:rPr>
          <w:sz w:val="20"/>
          <w:szCs w:val="20"/>
        </w:rPr>
        <w:t>20% to 50%</w:t>
      </w:r>
      <w:r w:rsidR="00C80459">
        <w:rPr>
          <w:sz w:val="20"/>
          <w:szCs w:val="20"/>
        </w:rPr>
        <w:t>, for 1 group of your choice</w:t>
      </w:r>
      <w:r w:rsidR="0066480F" w:rsidRPr="0066480F">
        <w:rPr>
          <w:sz w:val="20"/>
          <w:szCs w:val="20"/>
        </w:rPr>
        <w:t>. Verify in sheet</w:t>
      </w:r>
      <w:r w:rsidR="0066480F" w:rsidRPr="0066480F">
        <w:rPr>
          <w:b/>
          <w:bCs/>
          <w:i/>
          <w:iCs/>
          <w:sz w:val="20"/>
          <w:szCs w:val="20"/>
        </w:rPr>
        <w:t xml:space="preserve"> </w:t>
      </w:r>
      <w:proofErr w:type="spellStart"/>
      <w:r w:rsidR="0066480F" w:rsidRPr="0066480F">
        <w:rPr>
          <w:b/>
          <w:bCs/>
          <w:i/>
          <w:iCs/>
          <w:sz w:val="20"/>
          <w:szCs w:val="20"/>
        </w:rPr>
        <w:t>Screen</w:t>
      </w:r>
      <w:r w:rsidR="00145491">
        <w:rPr>
          <w:b/>
          <w:bCs/>
          <w:i/>
          <w:iCs/>
          <w:sz w:val="20"/>
          <w:szCs w:val="20"/>
        </w:rPr>
        <w:t>+Treat</w:t>
      </w:r>
      <w:proofErr w:type="spellEnd"/>
      <w:r w:rsidR="0066480F" w:rsidRPr="0066480F">
        <w:rPr>
          <w:b/>
          <w:bCs/>
          <w:i/>
          <w:iCs/>
          <w:sz w:val="20"/>
          <w:szCs w:val="20"/>
        </w:rPr>
        <w:t xml:space="preserve">, </w:t>
      </w:r>
      <w:r w:rsidR="00D65BDE" w:rsidRPr="00C80459">
        <w:rPr>
          <w:sz w:val="20"/>
          <w:szCs w:val="20"/>
        </w:rPr>
        <w:t>Year 2021</w:t>
      </w:r>
      <w:r w:rsidR="00D65BDE">
        <w:rPr>
          <w:sz w:val="20"/>
          <w:szCs w:val="20"/>
        </w:rPr>
        <w:t xml:space="preserve">: </w:t>
      </w:r>
      <w:r w:rsidR="00417F73">
        <w:rPr>
          <w:sz w:val="20"/>
          <w:szCs w:val="20"/>
        </w:rPr>
        <w:t>R</w:t>
      </w:r>
      <w:r w:rsidR="0066480F" w:rsidRPr="0066480F">
        <w:rPr>
          <w:sz w:val="20"/>
          <w:szCs w:val="20"/>
        </w:rPr>
        <w:t>ows 6</w:t>
      </w:r>
      <w:r w:rsidR="00C80459">
        <w:rPr>
          <w:sz w:val="20"/>
          <w:szCs w:val="20"/>
        </w:rPr>
        <w:t>1</w:t>
      </w:r>
      <w:r w:rsidR="0066480F" w:rsidRPr="0066480F">
        <w:rPr>
          <w:sz w:val="20"/>
          <w:szCs w:val="20"/>
        </w:rPr>
        <w:t>-</w:t>
      </w:r>
      <w:r w:rsidR="00C80459">
        <w:rPr>
          <w:sz w:val="20"/>
          <w:szCs w:val="20"/>
        </w:rPr>
        <w:t>69</w:t>
      </w:r>
      <w:r w:rsidR="0066480F" w:rsidRPr="0066480F">
        <w:rPr>
          <w:sz w:val="20"/>
          <w:szCs w:val="20"/>
        </w:rPr>
        <w:t>, that the effective coverage</w:t>
      </w:r>
      <w:r w:rsidR="00772AB1">
        <w:rPr>
          <w:sz w:val="20"/>
          <w:szCs w:val="20"/>
        </w:rPr>
        <w:t xml:space="preserve"> </w:t>
      </w:r>
      <w:r w:rsidR="00C80459">
        <w:rPr>
          <w:sz w:val="20"/>
          <w:szCs w:val="20"/>
        </w:rPr>
        <w:t xml:space="preserve">for that group </w:t>
      </w:r>
      <w:r w:rsidR="00D65BDE">
        <w:rPr>
          <w:sz w:val="20"/>
          <w:szCs w:val="20"/>
        </w:rPr>
        <w:t>has</w:t>
      </w:r>
      <w:r w:rsidR="0066480F" w:rsidRPr="0066480F">
        <w:rPr>
          <w:sz w:val="20"/>
          <w:szCs w:val="20"/>
        </w:rPr>
        <w:t xml:space="preserve"> change</w:t>
      </w:r>
      <w:r w:rsidR="00D65BDE">
        <w:rPr>
          <w:sz w:val="20"/>
          <w:szCs w:val="20"/>
        </w:rPr>
        <w:t>d</w:t>
      </w:r>
      <w:r w:rsidR="0066480F" w:rsidRPr="0066480F">
        <w:rPr>
          <w:sz w:val="20"/>
          <w:szCs w:val="20"/>
        </w:rPr>
        <w:t xml:space="preserve"> accordingly.</w:t>
      </w:r>
    </w:p>
    <w:p w14:paraId="088C5F06" w14:textId="0B41592E" w:rsidR="0066480F" w:rsidRDefault="0066480F" w:rsidP="00A226DF">
      <w:pPr>
        <w:rPr>
          <w:sz w:val="20"/>
          <w:szCs w:val="20"/>
        </w:rPr>
      </w:pPr>
    </w:p>
    <w:p w14:paraId="64D638D3" w14:textId="77777777" w:rsidR="00937594" w:rsidRPr="00937594" w:rsidRDefault="00937594" w:rsidP="00A226DF">
      <w:pPr>
        <w:rPr>
          <w:sz w:val="20"/>
          <w:szCs w:val="20"/>
          <w:u w:val="single"/>
        </w:rPr>
      </w:pPr>
      <w:r w:rsidRPr="00937594">
        <w:rPr>
          <w:sz w:val="20"/>
          <w:szCs w:val="20"/>
          <w:u w:val="single"/>
        </w:rPr>
        <w:t xml:space="preserve">Sheet </w:t>
      </w:r>
      <w:proofErr w:type="spellStart"/>
      <w:r w:rsidRPr="00937594">
        <w:rPr>
          <w:b/>
          <w:bCs/>
          <w:i/>
          <w:iCs/>
          <w:sz w:val="20"/>
          <w:szCs w:val="20"/>
          <w:u w:val="single"/>
        </w:rPr>
        <w:t>PopulationSizes</w:t>
      </w:r>
      <w:proofErr w:type="spellEnd"/>
    </w:p>
    <w:p w14:paraId="07D1AD0E" w14:textId="6B034632" w:rsidR="00FF4D23" w:rsidRDefault="00FF4D23" w:rsidP="00A226DF">
      <w:pPr>
        <w:rPr>
          <w:sz w:val="20"/>
          <w:szCs w:val="20"/>
        </w:rPr>
      </w:pPr>
      <w:r>
        <w:rPr>
          <w:sz w:val="20"/>
          <w:szCs w:val="20"/>
        </w:rPr>
        <w:t>Review the adult population distribution over the risk groups, as p</w:t>
      </w:r>
      <w:r w:rsidR="00C80459">
        <w:rPr>
          <w:sz w:val="20"/>
          <w:szCs w:val="20"/>
        </w:rPr>
        <w:t>ercentages</w:t>
      </w:r>
      <w:r>
        <w:rPr>
          <w:sz w:val="20"/>
          <w:szCs w:val="20"/>
        </w:rPr>
        <w:t xml:space="preserve"> (</w:t>
      </w:r>
      <w:r w:rsidR="00417F73">
        <w:rPr>
          <w:sz w:val="20"/>
          <w:szCs w:val="20"/>
        </w:rPr>
        <w:t>R</w:t>
      </w:r>
      <w:r>
        <w:rPr>
          <w:sz w:val="20"/>
          <w:szCs w:val="20"/>
        </w:rPr>
        <w:t xml:space="preserve">ows </w:t>
      </w:r>
      <w:r w:rsidR="00C80459">
        <w:rPr>
          <w:sz w:val="20"/>
          <w:szCs w:val="20"/>
        </w:rPr>
        <w:t>5</w:t>
      </w:r>
      <w:r>
        <w:rPr>
          <w:sz w:val="20"/>
          <w:szCs w:val="20"/>
        </w:rPr>
        <w:t>-1</w:t>
      </w:r>
      <w:r w:rsidR="00C80459">
        <w:rPr>
          <w:sz w:val="20"/>
          <w:szCs w:val="20"/>
        </w:rPr>
        <w:t>6</w:t>
      </w:r>
      <w:r>
        <w:rPr>
          <w:sz w:val="20"/>
          <w:szCs w:val="20"/>
        </w:rPr>
        <w:t>) and in absolute numbers (</w:t>
      </w:r>
      <w:r w:rsidR="00417F73">
        <w:rPr>
          <w:sz w:val="20"/>
          <w:szCs w:val="20"/>
        </w:rPr>
        <w:t>R</w:t>
      </w:r>
      <w:r>
        <w:rPr>
          <w:sz w:val="20"/>
          <w:szCs w:val="20"/>
        </w:rPr>
        <w:t>ows 2</w:t>
      </w:r>
      <w:r w:rsidR="00C80459">
        <w:rPr>
          <w:sz w:val="20"/>
          <w:szCs w:val="20"/>
        </w:rPr>
        <w:t>1</w:t>
      </w:r>
      <w:r>
        <w:rPr>
          <w:sz w:val="20"/>
          <w:szCs w:val="20"/>
        </w:rPr>
        <w:t>-3</w:t>
      </w:r>
      <w:r w:rsidR="00C80459">
        <w:rPr>
          <w:sz w:val="20"/>
          <w:szCs w:val="20"/>
        </w:rPr>
        <w:t>0</w:t>
      </w:r>
      <w:r>
        <w:rPr>
          <w:sz w:val="20"/>
          <w:szCs w:val="20"/>
        </w:rPr>
        <w:t xml:space="preserve">).  </w:t>
      </w:r>
    </w:p>
    <w:p w14:paraId="1CFB5AEF" w14:textId="71DC511F" w:rsidR="00FF4D23" w:rsidRDefault="00FF4D23" w:rsidP="00A226DF">
      <w:pPr>
        <w:rPr>
          <w:sz w:val="20"/>
          <w:szCs w:val="20"/>
        </w:rPr>
      </w:pPr>
    </w:p>
    <w:p w14:paraId="2C210B59" w14:textId="28786FF0" w:rsidR="00FF4D23" w:rsidRDefault="00FF4D23" w:rsidP="00361C97">
      <w:pPr>
        <w:ind w:left="720"/>
        <w:rPr>
          <w:sz w:val="20"/>
          <w:szCs w:val="20"/>
        </w:rPr>
      </w:pPr>
      <w:r>
        <w:rPr>
          <w:sz w:val="20"/>
          <w:szCs w:val="20"/>
        </w:rPr>
        <w:t>Q</w:t>
      </w:r>
      <w:r w:rsidR="003B542E">
        <w:rPr>
          <w:sz w:val="20"/>
          <w:szCs w:val="20"/>
        </w:rPr>
        <w:t>5E.</w:t>
      </w:r>
      <w:r>
        <w:rPr>
          <w:sz w:val="20"/>
          <w:szCs w:val="20"/>
        </w:rPr>
        <w:t xml:space="preserve"> What is the % of adult women who are FSW? </w:t>
      </w:r>
      <w:r w:rsidR="00361C97">
        <w:rPr>
          <w:sz w:val="20"/>
          <w:szCs w:val="20"/>
        </w:rPr>
        <w:t xml:space="preserve"> </w:t>
      </w:r>
      <w:r>
        <w:rPr>
          <w:sz w:val="20"/>
          <w:szCs w:val="20"/>
        </w:rPr>
        <w:t>Why is this % constant throughout 1970-2050?</w:t>
      </w:r>
    </w:p>
    <w:p w14:paraId="1A8E536C" w14:textId="723C3CC1" w:rsidR="00FF4D23" w:rsidRDefault="00FF4D23" w:rsidP="00361C97">
      <w:pPr>
        <w:ind w:left="720"/>
        <w:rPr>
          <w:sz w:val="20"/>
          <w:szCs w:val="20"/>
        </w:rPr>
      </w:pPr>
      <w:r w:rsidRPr="00FF4D23">
        <w:rPr>
          <w:sz w:val="20"/>
          <w:szCs w:val="20"/>
          <w:highlight w:val="green"/>
        </w:rPr>
        <w:t>Answer to Q</w:t>
      </w:r>
      <w:r w:rsidR="003B542E">
        <w:rPr>
          <w:sz w:val="20"/>
          <w:szCs w:val="20"/>
          <w:highlight w:val="green"/>
        </w:rPr>
        <w:t>5E.</w:t>
      </w:r>
      <w:r w:rsidRPr="00FF4D23">
        <w:rPr>
          <w:sz w:val="20"/>
          <w:szCs w:val="20"/>
          <w:highlight w:val="green"/>
        </w:rPr>
        <w:t xml:space="preserve"> 1.6%. This </w:t>
      </w:r>
      <w:r w:rsidR="00EC61A1">
        <w:rPr>
          <w:sz w:val="20"/>
          <w:szCs w:val="20"/>
          <w:highlight w:val="green"/>
        </w:rPr>
        <w:t xml:space="preserve">reflects that the </w:t>
      </w:r>
      <w:r w:rsidRPr="00FF4D23">
        <w:rPr>
          <w:sz w:val="20"/>
          <w:szCs w:val="20"/>
          <w:highlight w:val="green"/>
        </w:rPr>
        <w:t xml:space="preserve">country </w:t>
      </w:r>
      <w:r w:rsidR="00EC61A1">
        <w:rPr>
          <w:sz w:val="20"/>
          <w:szCs w:val="20"/>
          <w:highlight w:val="green"/>
        </w:rPr>
        <w:t xml:space="preserve">represented </w:t>
      </w:r>
      <w:r w:rsidR="00D65BDE">
        <w:rPr>
          <w:sz w:val="20"/>
          <w:szCs w:val="20"/>
          <w:highlight w:val="green"/>
        </w:rPr>
        <w:t>ha</w:t>
      </w:r>
      <w:r w:rsidR="00EC61A1">
        <w:rPr>
          <w:sz w:val="20"/>
          <w:szCs w:val="20"/>
          <w:highlight w:val="green"/>
        </w:rPr>
        <w:t>d</w:t>
      </w:r>
      <w:r w:rsidR="00D65BDE">
        <w:rPr>
          <w:sz w:val="20"/>
          <w:szCs w:val="20"/>
          <w:highlight w:val="green"/>
        </w:rPr>
        <w:t xml:space="preserve"> only done</w:t>
      </w:r>
      <w:r>
        <w:rPr>
          <w:sz w:val="20"/>
          <w:szCs w:val="20"/>
          <w:highlight w:val="green"/>
        </w:rPr>
        <w:t xml:space="preserve"> </w:t>
      </w:r>
      <w:r w:rsidRPr="00FF4D23">
        <w:rPr>
          <w:sz w:val="20"/>
          <w:szCs w:val="20"/>
          <w:highlight w:val="green"/>
        </w:rPr>
        <w:t xml:space="preserve">1 </w:t>
      </w:r>
      <w:r>
        <w:rPr>
          <w:sz w:val="20"/>
          <w:szCs w:val="20"/>
          <w:highlight w:val="green"/>
        </w:rPr>
        <w:t xml:space="preserve">population </w:t>
      </w:r>
      <w:r w:rsidRPr="00FF4D23">
        <w:rPr>
          <w:sz w:val="20"/>
          <w:szCs w:val="20"/>
          <w:highlight w:val="green"/>
        </w:rPr>
        <w:t>size estimation</w:t>
      </w:r>
      <w:r w:rsidR="00D65BDE">
        <w:rPr>
          <w:sz w:val="20"/>
          <w:szCs w:val="20"/>
          <w:highlight w:val="green"/>
        </w:rPr>
        <w:t xml:space="preserve">; </w:t>
      </w:r>
      <w:r w:rsidRPr="00FF4D23">
        <w:rPr>
          <w:sz w:val="20"/>
          <w:szCs w:val="20"/>
          <w:highlight w:val="green"/>
        </w:rPr>
        <w:t xml:space="preserve"> the % </w:t>
      </w:r>
      <w:r>
        <w:rPr>
          <w:sz w:val="20"/>
          <w:szCs w:val="20"/>
          <w:highlight w:val="green"/>
        </w:rPr>
        <w:t xml:space="preserve">resulting from that estimation </w:t>
      </w:r>
      <w:r w:rsidR="00EC61A1">
        <w:rPr>
          <w:sz w:val="20"/>
          <w:szCs w:val="20"/>
          <w:highlight w:val="green"/>
        </w:rPr>
        <w:t xml:space="preserve">was </w:t>
      </w:r>
      <w:r w:rsidRPr="00FF4D23">
        <w:rPr>
          <w:sz w:val="20"/>
          <w:szCs w:val="20"/>
          <w:highlight w:val="green"/>
        </w:rPr>
        <w:t xml:space="preserve">extrapolated to all earlier and </w:t>
      </w:r>
      <w:r w:rsidR="00D65BDE">
        <w:rPr>
          <w:sz w:val="20"/>
          <w:szCs w:val="20"/>
          <w:highlight w:val="green"/>
        </w:rPr>
        <w:t>later</w:t>
      </w:r>
      <w:r w:rsidRPr="00FF4D23">
        <w:rPr>
          <w:sz w:val="20"/>
          <w:szCs w:val="20"/>
          <w:highlight w:val="green"/>
        </w:rPr>
        <w:t xml:space="preserve"> years.</w:t>
      </w:r>
      <w:r>
        <w:rPr>
          <w:sz w:val="20"/>
          <w:szCs w:val="20"/>
        </w:rPr>
        <w:t xml:space="preserve"> </w:t>
      </w:r>
    </w:p>
    <w:p w14:paraId="4FE57594" w14:textId="2EF3B0FA" w:rsidR="00FF4D23" w:rsidRDefault="00FF4D23" w:rsidP="00A226DF">
      <w:pPr>
        <w:rPr>
          <w:sz w:val="20"/>
          <w:szCs w:val="20"/>
        </w:rPr>
      </w:pPr>
    </w:p>
    <w:p w14:paraId="55D93E7C" w14:textId="6EB87E14" w:rsidR="000D4FDF" w:rsidRDefault="000D4FDF" w:rsidP="00A226DF">
      <w:pPr>
        <w:rPr>
          <w:sz w:val="20"/>
          <w:szCs w:val="20"/>
        </w:rPr>
      </w:pPr>
      <w:bookmarkStart w:id="1" w:name="_Hlk43823526"/>
      <w:r>
        <w:rPr>
          <w:sz w:val="20"/>
          <w:szCs w:val="20"/>
        </w:rPr>
        <w:t>Note that, besides the 7 risk groups for which syphilis outputs are generated, the population modelled include</w:t>
      </w:r>
      <w:r w:rsidR="00116F1F">
        <w:rPr>
          <w:sz w:val="20"/>
          <w:szCs w:val="20"/>
        </w:rPr>
        <w:t>s</w:t>
      </w:r>
      <w:r>
        <w:rPr>
          <w:sz w:val="20"/>
          <w:szCs w:val="20"/>
        </w:rPr>
        <w:t xml:space="preserve"> </w:t>
      </w:r>
      <w:r w:rsidR="00BC1AD9">
        <w:rPr>
          <w:sz w:val="20"/>
          <w:szCs w:val="20"/>
        </w:rPr>
        <w:t>2 additional groups:</w:t>
      </w:r>
    </w:p>
    <w:p w14:paraId="6DCFE5B9" w14:textId="77777777" w:rsidR="00BC1AD9" w:rsidRPr="00EC61A1" w:rsidRDefault="00BC1AD9" w:rsidP="00792E78">
      <w:pPr>
        <w:pStyle w:val="ListParagraph"/>
        <w:numPr>
          <w:ilvl w:val="0"/>
          <w:numId w:val="8"/>
        </w:numPr>
        <w:rPr>
          <w:sz w:val="20"/>
          <w:szCs w:val="20"/>
        </w:rPr>
      </w:pPr>
      <w:r w:rsidRPr="00EC61A1">
        <w:rPr>
          <w:sz w:val="20"/>
          <w:szCs w:val="20"/>
        </w:rPr>
        <w:t xml:space="preserve">Not Sexually Active Women </w:t>
      </w:r>
    </w:p>
    <w:p w14:paraId="211DB1F9" w14:textId="54BF92B3" w:rsidR="000D4FDF" w:rsidRPr="00792E78" w:rsidRDefault="00BC1AD9" w:rsidP="00792E78">
      <w:pPr>
        <w:pStyle w:val="ListParagraph"/>
        <w:numPr>
          <w:ilvl w:val="0"/>
          <w:numId w:val="8"/>
        </w:numPr>
        <w:rPr>
          <w:b/>
          <w:bCs/>
          <w:i/>
          <w:iCs/>
          <w:sz w:val="20"/>
          <w:szCs w:val="20"/>
        </w:rPr>
      </w:pPr>
      <w:r w:rsidRPr="00EC61A1">
        <w:rPr>
          <w:sz w:val="20"/>
          <w:szCs w:val="20"/>
        </w:rPr>
        <w:t>Not Sexually Active Men.</w:t>
      </w:r>
      <w:r w:rsidR="00CC6A6B">
        <w:rPr>
          <w:b/>
          <w:bCs/>
          <w:i/>
          <w:iCs/>
          <w:sz w:val="20"/>
          <w:szCs w:val="20"/>
        </w:rPr>
        <w:br/>
      </w:r>
    </w:p>
    <w:p w14:paraId="6F959679" w14:textId="74F421BF" w:rsidR="00BC1AD9" w:rsidRPr="00792E78" w:rsidRDefault="00792E78" w:rsidP="00A226DF">
      <w:pPr>
        <w:rPr>
          <w:sz w:val="20"/>
          <w:szCs w:val="20"/>
        </w:rPr>
      </w:pPr>
      <w:r w:rsidRPr="00792E78">
        <w:rPr>
          <w:sz w:val="20"/>
          <w:szCs w:val="20"/>
        </w:rPr>
        <w:t>These groups are not exposed to syphilis, so their incidence and prevalence – by definition – is 0.</w:t>
      </w:r>
      <w:r w:rsidR="00F80D80">
        <w:rPr>
          <w:sz w:val="20"/>
          <w:szCs w:val="20"/>
        </w:rPr>
        <w:t xml:space="preserve"> </w:t>
      </w:r>
    </w:p>
    <w:bookmarkEnd w:id="1"/>
    <w:p w14:paraId="6A6D4A33" w14:textId="77777777" w:rsidR="00792E78" w:rsidRDefault="00792E78" w:rsidP="00A226DF">
      <w:pPr>
        <w:rPr>
          <w:b/>
          <w:bCs/>
          <w:i/>
          <w:iCs/>
          <w:sz w:val="20"/>
          <w:szCs w:val="20"/>
        </w:rPr>
      </w:pPr>
    </w:p>
    <w:p w14:paraId="16B281BA" w14:textId="0FFCAA30" w:rsidR="00792E78" w:rsidRPr="00792E78" w:rsidRDefault="00792E78" w:rsidP="00792E78">
      <w:pPr>
        <w:ind w:left="720"/>
        <w:rPr>
          <w:sz w:val="20"/>
          <w:szCs w:val="20"/>
        </w:rPr>
      </w:pPr>
      <w:r w:rsidRPr="00792E78">
        <w:rPr>
          <w:sz w:val="20"/>
          <w:szCs w:val="20"/>
        </w:rPr>
        <w:t>Q</w:t>
      </w:r>
      <w:r w:rsidR="003B542E">
        <w:rPr>
          <w:sz w:val="20"/>
          <w:szCs w:val="20"/>
        </w:rPr>
        <w:t>5F.</w:t>
      </w:r>
      <w:r w:rsidRPr="00792E78">
        <w:rPr>
          <w:sz w:val="20"/>
          <w:szCs w:val="20"/>
        </w:rPr>
        <w:t xml:space="preserve"> Why are these groups nevertheless included in the input file?</w:t>
      </w:r>
    </w:p>
    <w:p w14:paraId="310B2A52" w14:textId="453D3A22" w:rsidR="00792E78" w:rsidRPr="00792E78" w:rsidRDefault="00792E78" w:rsidP="00792E78">
      <w:pPr>
        <w:ind w:left="720"/>
        <w:rPr>
          <w:sz w:val="20"/>
          <w:szCs w:val="20"/>
        </w:rPr>
      </w:pPr>
      <w:r w:rsidRPr="00792E78">
        <w:rPr>
          <w:sz w:val="20"/>
          <w:szCs w:val="20"/>
          <w:highlight w:val="green"/>
        </w:rPr>
        <w:t>Answer to Q</w:t>
      </w:r>
      <w:r w:rsidR="003B542E">
        <w:rPr>
          <w:sz w:val="20"/>
          <w:szCs w:val="20"/>
          <w:highlight w:val="green"/>
        </w:rPr>
        <w:t>5F.</w:t>
      </w:r>
      <w:r w:rsidRPr="00792E78">
        <w:rPr>
          <w:sz w:val="20"/>
          <w:szCs w:val="20"/>
          <w:highlight w:val="green"/>
        </w:rPr>
        <w:t xml:space="preserve"> They form part of a national population. So even though they </w:t>
      </w:r>
      <w:r w:rsidR="00116F1F">
        <w:rPr>
          <w:sz w:val="20"/>
          <w:szCs w:val="20"/>
          <w:highlight w:val="green"/>
        </w:rPr>
        <w:t>do no not</w:t>
      </w:r>
      <w:r w:rsidR="00116F1F" w:rsidRPr="00792E78">
        <w:rPr>
          <w:sz w:val="20"/>
          <w:szCs w:val="20"/>
          <w:highlight w:val="green"/>
        </w:rPr>
        <w:t xml:space="preserve"> </w:t>
      </w:r>
      <w:r w:rsidRPr="00792E78">
        <w:rPr>
          <w:sz w:val="20"/>
          <w:szCs w:val="20"/>
          <w:highlight w:val="green"/>
        </w:rPr>
        <w:t xml:space="preserve">contract syphilis, they </w:t>
      </w:r>
      <w:r w:rsidR="00116F1F">
        <w:rPr>
          <w:sz w:val="20"/>
          <w:szCs w:val="20"/>
          <w:highlight w:val="green"/>
        </w:rPr>
        <w:t>should be</w:t>
      </w:r>
      <w:r w:rsidR="00116F1F" w:rsidRPr="00792E78">
        <w:rPr>
          <w:sz w:val="20"/>
          <w:szCs w:val="20"/>
          <w:highlight w:val="green"/>
        </w:rPr>
        <w:t xml:space="preserve"> </w:t>
      </w:r>
      <w:r w:rsidRPr="00792E78">
        <w:rPr>
          <w:sz w:val="20"/>
          <w:szCs w:val="20"/>
          <w:highlight w:val="green"/>
        </w:rPr>
        <w:t>count</w:t>
      </w:r>
      <w:r w:rsidR="00116F1F">
        <w:rPr>
          <w:sz w:val="20"/>
          <w:szCs w:val="20"/>
          <w:highlight w:val="green"/>
        </w:rPr>
        <w:t>ed</w:t>
      </w:r>
      <w:r w:rsidRPr="00792E78">
        <w:rPr>
          <w:sz w:val="20"/>
          <w:szCs w:val="20"/>
          <w:highlight w:val="green"/>
        </w:rPr>
        <w:t xml:space="preserve"> in the denominator</w:t>
      </w:r>
      <w:r w:rsidR="00116F1F">
        <w:rPr>
          <w:sz w:val="20"/>
          <w:szCs w:val="20"/>
          <w:highlight w:val="green"/>
        </w:rPr>
        <w:t xml:space="preserve"> when estimating</w:t>
      </w:r>
      <w:r w:rsidRPr="00792E78">
        <w:rPr>
          <w:sz w:val="20"/>
          <w:szCs w:val="20"/>
          <w:highlight w:val="green"/>
        </w:rPr>
        <w:t xml:space="preserve"> </w:t>
      </w:r>
      <w:r w:rsidR="00116F1F">
        <w:rPr>
          <w:sz w:val="20"/>
          <w:szCs w:val="20"/>
          <w:highlight w:val="green"/>
        </w:rPr>
        <w:t xml:space="preserve"> national</w:t>
      </w:r>
      <w:r w:rsidRPr="00792E78">
        <w:rPr>
          <w:sz w:val="20"/>
          <w:szCs w:val="20"/>
          <w:highlight w:val="green"/>
        </w:rPr>
        <w:t xml:space="preserve"> incidence rate</w:t>
      </w:r>
      <w:r w:rsidR="00116F1F">
        <w:rPr>
          <w:sz w:val="20"/>
          <w:szCs w:val="20"/>
          <w:highlight w:val="green"/>
        </w:rPr>
        <w:t>s</w:t>
      </w:r>
      <w:r w:rsidRPr="00792E78">
        <w:rPr>
          <w:sz w:val="20"/>
          <w:szCs w:val="20"/>
          <w:highlight w:val="green"/>
        </w:rPr>
        <w:t xml:space="preserve"> and prevalence.</w:t>
      </w:r>
    </w:p>
    <w:p w14:paraId="06F8E0C0" w14:textId="77777777" w:rsidR="00BC1AD9" w:rsidRPr="00BC1AD9" w:rsidRDefault="00BC1AD9" w:rsidP="00A226DF">
      <w:pPr>
        <w:rPr>
          <w:b/>
          <w:bCs/>
          <w:i/>
          <w:iCs/>
          <w:sz w:val="20"/>
          <w:szCs w:val="20"/>
        </w:rPr>
      </w:pPr>
    </w:p>
    <w:p w14:paraId="22C01288" w14:textId="3F66E368" w:rsidR="00FF4D23" w:rsidRDefault="00FF4D23" w:rsidP="00A226DF">
      <w:pPr>
        <w:rPr>
          <w:b/>
          <w:bCs/>
          <w:i/>
          <w:iCs/>
          <w:sz w:val="20"/>
          <w:szCs w:val="20"/>
          <w:u w:val="single"/>
        </w:rPr>
      </w:pPr>
      <w:r w:rsidRPr="00937594">
        <w:rPr>
          <w:sz w:val="20"/>
          <w:szCs w:val="20"/>
          <w:u w:val="single"/>
        </w:rPr>
        <w:t xml:space="preserve">Sheet </w:t>
      </w:r>
      <w:proofErr w:type="spellStart"/>
      <w:r w:rsidRPr="00937594">
        <w:rPr>
          <w:b/>
          <w:bCs/>
          <w:i/>
          <w:iCs/>
          <w:sz w:val="20"/>
          <w:szCs w:val="20"/>
          <w:u w:val="single"/>
        </w:rPr>
        <w:t>SexualBehaviour</w:t>
      </w:r>
      <w:proofErr w:type="spellEnd"/>
    </w:p>
    <w:p w14:paraId="1446289A" w14:textId="60123B60" w:rsidR="00FF4D23" w:rsidRDefault="00FF4D23" w:rsidP="00A226DF">
      <w:pPr>
        <w:rPr>
          <w:sz w:val="20"/>
          <w:szCs w:val="20"/>
        </w:rPr>
      </w:pPr>
      <w:r>
        <w:rPr>
          <w:sz w:val="20"/>
          <w:szCs w:val="20"/>
        </w:rPr>
        <w:t xml:space="preserve">Review </w:t>
      </w:r>
      <w:r w:rsidR="000C299A" w:rsidRPr="000C299A">
        <w:rPr>
          <w:b/>
          <w:bCs/>
          <w:i/>
          <w:iCs/>
          <w:sz w:val="20"/>
          <w:szCs w:val="20"/>
        </w:rPr>
        <w:t>N</w:t>
      </w:r>
      <w:r w:rsidRPr="000C299A">
        <w:rPr>
          <w:b/>
          <w:bCs/>
          <w:i/>
          <w:iCs/>
          <w:sz w:val="20"/>
          <w:szCs w:val="20"/>
        </w:rPr>
        <w:t>umbers of partners per year</w:t>
      </w:r>
      <w:r>
        <w:rPr>
          <w:sz w:val="20"/>
          <w:szCs w:val="20"/>
        </w:rPr>
        <w:t xml:space="preserve"> for the different groups (</w:t>
      </w:r>
      <w:r w:rsidR="00417F73">
        <w:rPr>
          <w:sz w:val="20"/>
          <w:szCs w:val="20"/>
        </w:rPr>
        <w:t>R</w:t>
      </w:r>
      <w:r>
        <w:rPr>
          <w:sz w:val="20"/>
          <w:szCs w:val="20"/>
        </w:rPr>
        <w:t xml:space="preserve">ows </w:t>
      </w:r>
      <w:r w:rsidR="00EC61A1">
        <w:rPr>
          <w:sz w:val="20"/>
          <w:szCs w:val="20"/>
        </w:rPr>
        <w:t>5</w:t>
      </w:r>
      <w:r>
        <w:rPr>
          <w:sz w:val="20"/>
          <w:szCs w:val="20"/>
        </w:rPr>
        <w:t>-1</w:t>
      </w:r>
      <w:r w:rsidR="00EC61A1">
        <w:rPr>
          <w:sz w:val="20"/>
          <w:szCs w:val="20"/>
        </w:rPr>
        <w:t>3</w:t>
      </w:r>
      <w:r>
        <w:rPr>
          <w:sz w:val="20"/>
          <w:szCs w:val="20"/>
        </w:rPr>
        <w:t>).</w:t>
      </w:r>
    </w:p>
    <w:p w14:paraId="789208E4" w14:textId="156C1728" w:rsidR="00FF4D23" w:rsidRDefault="00FF4D23" w:rsidP="00A226DF">
      <w:pPr>
        <w:rPr>
          <w:sz w:val="20"/>
          <w:szCs w:val="20"/>
        </w:rPr>
      </w:pPr>
    </w:p>
    <w:p w14:paraId="6EC1049D" w14:textId="3EBFD60F" w:rsidR="00FF4D23" w:rsidRDefault="00FF4D23" w:rsidP="00361C97">
      <w:pPr>
        <w:ind w:left="720"/>
        <w:rPr>
          <w:sz w:val="20"/>
          <w:szCs w:val="20"/>
        </w:rPr>
      </w:pPr>
      <w:r>
        <w:rPr>
          <w:sz w:val="20"/>
          <w:szCs w:val="20"/>
        </w:rPr>
        <w:t>Q</w:t>
      </w:r>
      <w:r w:rsidR="003B542E">
        <w:rPr>
          <w:sz w:val="20"/>
          <w:szCs w:val="20"/>
        </w:rPr>
        <w:t>5G.</w:t>
      </w:r>
      <w:r>
        <w:rPr>
          <w:sz w:val="20"/>
          <w:szCs w:val="20"/>
        </w:rPr>
        <w:t xml:space="preserve"> These parameters are indicated as user-editable (green-shade) for Medium- and High-risk groups and MSM. Why are they indicated unchangeable (grey font) for Low-risk women and men?</w:t>
      </w:r>
    </w:p>
    <w:p w14:paraId="73C6C231" w14:textId="5BDA510F" w:rsidR="00FF4D23" w:rsidRDefault="00FF4D23" w:rsidP="00361C97">
      <w:pPr>
        <w:ind w:left="720"/>
        <w:rPr>
          <w:sz w:val="20"/>
          <w:szCs w:val="20"/>
        </w:rPr>
      </w:pPr>
      <w:r w:rsidRPr="00FF4D23">
        <w:rPr>
          <w:sz w:val="20"/>
          <w:szCs w:val="20"/>
          <w:highlight w:val="green"/>
        </w:rPr>
        <w:t>Answer to Q</w:t>
      </w:r>
      <w:r w:rsidR="003B542E">
        <w:rPr>
          <w:sz w:val="20"/>
          <w:szCs w:val="20"/>
          <w:highlight w:val="green"/>
        </w:rPr>
        <w:t>5G.</w:t>
      </w:r>
      <w:r w:rsidRPr="00FF4D23">
        <w:rPr>
          <w:sz w:val="20"/>
          <w:szCs w:val="20"/>
          <w:highlight w:val="green"/>
        </w:rPr>
        <w:t xml:space="preserve"> The definition of being Low-risk in the model is, having only 1 stable partner in a year.</w:t>
      </w:r>
    </w:p>
    <w:p w14:paraId="2CCD0EB7" w14:textId="3709420F" w:rsidR="0066480F" w:rsidRDefault="0066480F" w:rsidP="00A226DF">
      <w:pPr>
        <w:rPr>
          <w:sz w:val="20"/>
          <w:szCs w:val="20"/>
        </w:rPr>
      </w:pPr>
    </w:p>
    <w:p w14:paraId="7937FD55" w14:textId="3440547E" w:rsidR="000C299A" w:rsidRDefault="000C299A" w:rsidP="00A226DF">
      <w:pPr>
        <w:rPr>
          <w:sz w:val="20"/>
          <w:szCs w:val="20"/>
        </w:rPr>
      </w:pPr>
      <w:r>
        <w:rPr>
          <w:sz w:val="20"/>
          <w:szCs w:val="20"/>
        </w:rPr>
        <w:t xml:space="preserve">Review the </w:t>
      </w:r>
      <w:r w:rsidRPr="000C299A">
        <w:rPr>
          <w:b/>
          <w:bCs/>
          <w:i/>
          <w:iCs/>
          <w:sz w:val="20"/>
          <w:szCs w:val="20"/>
        </w:rPr>
        <w:t>Number of Sex Acts per Partner per year</w:t>
      </w:r>
      <w:r w:rsidR="00361C97">
        <w:rPr>
          <w:b/>
          <w:bCs/>
          <w:i/>
          <w:iCs/>
          <w:sz w:val="20"/>
          <w:szCs w:val="20"/>
        </w:rPr>
        <w:t xml:space="preserve"> </w:t>
      </w:r>
      <w:r w:rsidR="00361C97" w:rsidRPr="00361C97">
        <w:rPr>
          <w:sz w:val="20"/>
          <w:szCs w:val="20"/>
        </w:rPr>
        <w:t>(</w:t>
      </w:r>
      <w:r w:rsidR="00116F1F">
        <w:rPr>
          <w:sz w:val="20"/>
          <w:szCs w:val="20"/>
        </w:rPr>
        <w:t>Rows 17 to 20</w:t>
      </w:r>
      <w:r w:rsidR="00361C97" w:rsidRPr="00361C97">
        <w:rPr>
          <w:sz w:val="20"/>
          <w:szCs w:val="20"/>
        </w:rPr>
        <w:t>)</w:t>
      </w:r>
    </w:p>
    <w:p w14:paraId="5B472F5B" w14:textId="67AC8436" w:rsidR="000C299A" w:rsidRDefault="000C299A" w:rsidP="00361C97">
      <w:pPr>
        <w:ind w:left="720"/>
        <w:rPr>
          <w:sz w:val="20"/>
          <w:szCs w:val="20"/>
        </w:rPr>
      </w:pPr>
      <w:r>
        <w:rPr>
          <w:sz w:val="20"/>
          <w:szCs w:val="20"/>
        </w:rPr>
        <w:t>Q</w:t>
      </w:r>
      <w:r w:rsidR="003B542E">
        <w:rPr>
          <w:sz w:val="20"/>
          <w:szCs w:val="20"/>
        </w:rPr>
        <w:t>5H.</w:t>
      </w:r>
      <w:r>
        <w:rPr>
          <w:sz w:val="20"/>
          <w:szCs w:val="20"/>
        </w:rPr>
        <w:t xml:space="preserve"> Why are there 4 rows only, and not men and women separately?</w:t>
      </w:r>
    </w:p>
    <w:p w14:paraId="0C3E6F38" w14:textId="27C1C552" w:rsidR="000C299A" w:rsidRDefault="000C299A" w:rsidP="00361C97">
      <w:pPr>
        <w:ind w:left="720"/>
        <w:rPr>
          <w:sz w:val="20"/>
          <w:szCs w:val="20"/>
        </w:rPr>
      </w:pPr>
      <w:r w:rsidRPr="000C299A">
        <w:rPr>
          <w:sz w:val="20"/>
          <w:szCs w:val="20"/>
          <w:highlight w:val="green"/>
        </w:rPr>
        <w:t>Answer to Q</w:t>
      </w:r>
      <w:r w:rsidR="003B542E">
        <w:rPr>
          <w:sz w:val="20"/>
          <w:szCs w:val="20"/>
          <w:highlight w:val="green"/>
        </w:rPr>
        <w:t>5H.</w:t>
      </w:r>
      <w:r w:rsidRPr="000C299A">
        <w:rPr>
          <w:sz w:val="20"/>
          <w:szCs w:val="20"/>
          <w:highlight w:val="green"/>
        </w:rPr>
        <w:t xml:space="preserve"> </w:t>
      </w:r>
      <w:r w:rsidR="00116F1F">
        <w:rPr>
          <w:sz w:val="20"/>
          <w:szCs w:val="20"/>
          <w:highlight w:val="green"/>
        </w:rPr>
        <w:t>W</w:t>
      </w:r>
      <w:r w:rsidRPr="000C299A">
        <w:rPr>
          <w:sz w:val="20"/>
          <w:szCs w:val="20"/>
          <w:highlight w:val="green"/>
        </w:rPr>
        <w:t>ithin a</w:t>
      </w:r>
      <w:r w:rsidR="00116F1F">
        <w:rPr>
          <w:sz w:val="20"/>
          <w:szCs w:val="20"/>
          <w:highlight w:val="green"/>
        </w:rPr>
        <w:t>ny</w:t>
      </w:r>
      <w:r w:rsidRPr="000C299A">
        <w:rPr>
          <w:sz w:val="20"/>
          <w:szCs w:val="20"/>
          <w:highlight w:val="green"/>
        </w:rPr>
        <w:t xml:space="preserve"> given partnership both partners </w:t>
      </w:r>
      <w:r w:rsidR="00EC61A1">
        <w:rPr>
          <w:sz w:val="20"/>
          <w:szCs w:val="20"/>
          <w:highlight w:val="green"/>
        </w:rPr>
        <w:t>must</w:t>
      </w:r>
      <w:r w:rsidR="00116F1F">
        <w:rPr>
          <w:sz w:val="20"/>
          <w:szCs w:val="20"/>
          <w:highlight w:val="green"/>
        </w:rPr>
        <w:t xml:space="preserve"> have the same number of sexual acts</w:t>
      </w:r>
      <w:r w:rsidRPr="000C299A">
        <w:rPr>
          <w:sz w:val="20"/>
          <w:szCs w:val="20"/>
          <w:highlight w:val="green"/>
        </w:rPr>
        <w:t>.</w:t>
      </w:r>
    </w:p>
    <w:p w14:paraId="2E767D94" w14:textId="77777777" w:rsidR="000C299A" w:rsidRDefault="000C299A" w:rsidP="00A226DF">
      <w:pPr>
        <w:rPr>
          <w:sz w:val="20"/>
          <w:szCs w:val="20"/>
        </w:rPr>
      </w:pPr>
    </w:p>
    <w:p w14:paraId="1CFA31C0" w14:textId="4B24A01A" w:rsidR="00FF4D23" w:rsidRDefault="00FF4D23" w:rsidP="00A226DF">
      <w:pPr>
        <w:rPr>
          <w:sz w:val="20"/>
          <w:szCs w:val="20"/>
        </w:rPr>
      </w:pPr>
      <w:r>
        <w:rPr>
          <w:sz w:val="20"/>
          <w:szCs w:val="20"/>
        </w:rPr>
        <w:t xml:space="preserve">Review the </w:t>
      </w:r>
      <w:r w:rsidR="00A658CF">
        <w:rPr>
          <w:b/>
          <w:bCs/>
          <w:i/>
          <w:iCs/>
          <w:sz w:val="20"/>
          <w:szCs w:val="20"/>
        </w:rPr>
        <w:t>Marital status/Proportion married</w:t>
      </w:r>
      <w:r>
        <w:rPr>
          <w:sz w:val="20"/>
          <w:szCs w:val="20"/>
        </w:rPr>
        <w:t xml:space="preserve"> for the respective groups (</w:t>
      </w:r>
      <w:r w:rsidR="00417F73">
        <w:rPr>
          <w:sz w:val="20"/>
          <w:szCs w:val="20"/>
        </w:rPr>
        <w:t>R</w:t>
      </w:r>
      <w:r>
        <w:rPr>
          <w:sz w:val="20"/>
          <w:szCs w:val="20"/>
        </w:rPr>
        <w:t xml:space="preserve">ows </w:t>
      </w:r>
      <w:r w:rsidR="00EC61A1">
        <w:rPr>
          <w:sz w:val="20"/>
          <w:szCs w:val="20"/>
        </w:rPr>
        <w:t>25</w:t>
      </w:r>
      <w:r>
        <w:rPr>
          <w:sz w:val="20"/>
          <w:szCs w:val="20"/>
        </w:rPr>
        <w:t>-</w:t>
      </w:r>
      <w:r w:rsidR="00EC61A1">
        <w:rPr>
          <w:sz w:val="20"/>
          <w:szCs w:val="20"/>
        </w:rPr>
        <w:t>33</w:t>
      </w:r>
      <w:r>
        <w:rPr>
          <w:sz w:val="20"/>
          <w:szCs w:val="20"/>
        </w:rPr>
        <w:t>).</w:t>
      </w:r>
    </w:p>
    <w:p w14:paraId="67F1E022" w14:textId="77777777" w:rsidR="000C299A" w:rsidRDefault="000C299A" w:rsidP="00A226DF">
      <w:pPr>
        <w:rPr>
          <w:sz w:val="20"/>
          <w:szCs w:val="20"/>
        </w:rPr>
      </w:pPr>
    </w:p>
    <w:p w14:paraId="2B267DCA" w14:textId="2A84B74E" w:rsidR="00FF4D23" w:rsidRDefault="000C299A" w:rsidP="00361C97">
      <w:pPr>
        <w:ind w:left="720"/>
        <w:rPr>
          <w:sz w:val="20"/>
          <w:szCs w:val="20"/>
        </w:rPr>
      </w:pPr>
      <w:r>
        <w:rPr>
          <w:sz w:val="20"/>
          <w:szCs w:val="20"/>
        </w:rPr>
        <w:t>Q</w:t>
      </w:r>
      <w:r w:rsidR="003B542E">
        <w:rPr>
          <w:sz w:val="20"/>
          <w:szCs w:val="20"/>
        </w:rPr>
        <w:t>5I</w:t>
      </w:r>
      <w:r>
        <w:rPr>
          <w:sz w:val="20"/>
          <w:szCs w:val="20"/>
        </w:rPr>
        <w:t xml:space="preserve">. What </w:t>
      </w:r>
      <w:r w:rsidR="00A658CF">
        <w:rPr>
          <w:sz w:val="20"/>
          <w:szCs w:val="20"/>
        </w:rPr>
        <w:t>proportion</w:t>
      </w:r>
      <w:r>
        <w:rPr>
          <w:sz w:val="20"/>
          <w:szCs w:val="20"/>
        </w:rPr>
        <w:t xml:space="preserve"> of MSM are married</w:t>
      </w:r>
      <w:r w:rsidR="00EC61A1">
        <w:rPr>
          <w:sz w:val="20"/>
          <w:szCs w:val="20"/>
        </w:rPr>
        <w:t>, i.e. have a relationship with a Low-risk woman?</w:t>
      </w:r>
      <w:r>
        <w:rPr>
          <w:sz w:val="20"/>
          <w:szCs w:val="20"/>
        </w:rPr>
        <w:t xml:space="preserve"> </w:t>
      </w:r>
      <w:r w:rsidR="00A658CF">
        <w:rPr>
          <w:sz w:val="20"/>
          <w:szCs w:val="20"/>
        </w:rPr>
        <w:t xml:space="preserve">Does </w:t>
      </w:r>
      <w:r>
        <w:rPr>
          <w:sz w:val="20"/>
          <w:szCs w:val="20"/>
        </w:rPr>
        <w:t xml:space="preserve">this </w:t>
      </w:r>
      <w:r w:rsidR="00A658CF">
        <w:rPr>
          <w:sz w:val="20"/>
          <w:szCs w:val="20"/>
        </w:rPr>
        <w:t>seem</w:t>
      </w:r>
      <w:r>
        <w:rPr>
          <w:sz w:val="20"/>
          <w:szCs w:val="20"/>
        </w:rPr>
        <w:t xml:space="preserve"> a reasonable value for your country, in view of hidden homosexuality and stigma and bisexuality?</w:t>
      </w:r>
    </w:p>
    <w:p w14:paraId="48B2AA42" w14:textId="2028636C" w:rsidR="000C299A" w:rsidRDefault="000C299A" w:rsidP="00361C97">
      <w:pPr>
        <w:ind w:left="720"/>
        <w:rPr>
          <w:sz w:val="20"/>
          <w:szCs w:val="20"/>
        </w:rPr>
      </w:pPr>
      <w:r w:rsidRPr="000C299A">
        <w:rPr>
          <w:sz w:val="20"/>
          <w:szCs w:val="20"/>
          <w:highlight w:val="green"/>
        </w:rPr>
        <w:t xml:space="preserve">Answer to </w:t>
      </w:r>
      <w:r w:rsidR="00383623">
        <w:rPr>
          <w:sz w:val="20"/>
          <w:szCs w:val="20"/>
          <w:highlight w:val="green"/>
        </w:rPr>
        <w:t>Q</w:t>
      </w:r>
      <w:r w:rsidR="003B542E">
        <w:rPr>
          <w:sz w:val="20"/>
          <w:szCs w:val="20"/>
          <w:highlight w:val="green"/>
        </w:rPr>
        <w:t xml:space="preserve">5I. </w:t>
      </w:r>
      <w:r w:rsidRPr="000C299A">
        <w:rPr>
          <w:sz w:val="20"/>
          <w:szCs w:val="20"/>
          <w:highlight w:val="green"/>
        </w:rPr>
        <w:t xml:space="preserve">20%. In most countries, a non-negligible part of MSM are married </w:t>
      </w:r>
      <w:r w:rsidR="00EC61A1">
        <w:rPr>
          <w:sz w:val="20"/>
          <w:szCs w:val="20"/>
          <w:highlight w:val="green"/>
        </w:rPr>
        <w:t>with a woman</w:t>
      </w:r>
      <w:r w:rsidR="0004417B">
        <w:rPr>
          <w:sz w:val="20"/>
          <w:szCs w:val="20"/>
          <w:highlight w:val="green"/>
        </w:rPr>
        <w:t xml:space="preserve"> (i.e. are bisexual) </w:t>
      </w:r>
      <w:r w:rsidRPr="000C299A">
        <w:rPr>
          <w:sz w:val="20"/>
          <w:szCs w:val="20"/>
          <w:highlight w:val="green"/>
        </w:rPr>
        <w:t>– thus bridging into the general heterosexual population.</w:t>
      </w:r>
    </w:p>
    <w:p w14:paraId="79B0A8F7" w14:textId="3B03A45D" w:rsidR="000C299A" w:rsidRDefault="000C299A" w:rsidP="00A226DF">
      <w:pPr>
        <w:rPr>
          <w:sz w:val="20"/>
          <w:szCs w:val="20"/>
        </w:rPr>
      </w:pPr>
    </w:p>
    <w:p w14:paraId="15C54F3E" w14:textId="5EA40922" w:rsidR="000C299A" w:rsidRDefault="000C299A" w:rsidP="00A226DF">
      <w:pPr>
        <w:rPr>
          <w:sz w:val="20"/>
          <w:szCs w:val="20"/>
        </w:rPr>
      </w:pPr>
      <w:r>
        <w:rPr>
          <w:sz w:val="20"/>
          <w:szCs w:val="20"/>
        </w:rPr>
        <w:t xml:space="preserve">Review </w:t>
      </w:r>
      <w:r w:rsidRPr="000C299A">
        <w:rPr>
          <w:b/>
          <w:bCs/>
          <w:i/>
          <w:iCs/>
          <w:sz w:val="20"/>
          <w:szCs w:val="20"/>
        </w:rPr>
        <w:t>Condom Use Per Sex Act, % of contacts (random)</w:t>
      </w:r>
      <w:r w:rsidR="00361C97">
        <w:rPr>
          <w:b/>
          <w:bCs/>
          <w:i/>
          <w:iCs/>
          <w:sz w:val="20"/>
          <w:szCs w:val="20"/>
        </w:rPr>
        <w:t xml:space="preserve"> </w:t>
      </w:r>
      <w:r w:rsidR="00361C97" w:rsidRPr="00361C97">
        <w:rPr>
          <w:sz w:val="20"/>
          <w:szCs w:val="20"/>
        </w:rPr>
        <w:t>(</w:t>
      </w:r>
      <w:r w:rsidR="00417F73">
        <w:rPr>
          <w:sz w:val="20"/>
          <w:szCs w:val="20"/>
        </w:rPr>
        <w:t>R</w:t>
      </w:r>
      <w:r>
        <w:rPr>
          <w:sz w:val="20"/>
          <w:szCs w:val="20"/>
        </w:rPr>
        <w:t xml:space="preserve">ows </w:t>
      </w:r>
      <w:r w:rsidR="00EC61A1">
        <w:rPr>
          <w:sz w:val="20"/>
          <w:szCs w:val="20"/>
        </w:rPr>
        <w:t>52</w:t>
      </w:r>
      <w:r>
        <w:rPr>
          <w:sz w:val="20"/>
          <w:szCs w:val="20"/>
        </w:rPr>
        <w:t>-</w:t>
      </w:r>
      <w:r w:rsidR="00EC61A1">
        <w:rPr>
          <w:sz w:val="20"/>
          <w:szCs w:val="20"/>
        </w:rPr>
        <w:t>55</w:t>
      </w:r>
      <w:r w:rsidR="00361C97">
        <w:rPr>
          <w:sz w:val="20"/>
          <w:szCs w:val="20"/>
        </w:rPr>
        <w:t>)</w:t>
      </w:r>
      <w:r>
        <w:rPr>
          <w:sz w:val="20"/>
          <w:szCs w:val="20"/>
        </w:rPr>
        <w:t>.</w:t>
      </w:r>
    </w:p>
    <w:p w14:paraId="4A3AC7D5" w14:textId="77777777" w:rsidR="00361C97" w:rsidRDefault="00361C97" w:rsidP="00A226DF">
      <w:pPr>
        <w:rPr>
          <w:sz w:val="20"/>
          <w:szCs w:val="20"/>
        </w:rPr>
      </w:pPr>
    </w:p>
    <w:p w14:paraId="46433F08" w14:textId="3E286163" w:rsidR="00361C97" w:rsidRDefault="00383623" w:rsidP="00A226DF">
      <w:pPr>
        <w:rPr>
          <w:sz w:val="20"/>
          <w:szCs w:val="20"/>
        </w:rPr>
      </w:pPr>
      <w:r>
        <w:rPr>
          <w:sz w:val="20"/>
          <w:szCs w:val="20"/>
        </w:rPr>
        <w:t xml:space="preserve">Review </w:t>
      </w:r>
      <w:r w:rsidRPr="001D385F">
        <w:rPr>
          <w:b/>
          <w:bCs/>
          <w:i/>
          <w:iCs/>
          <w:sz w:val="20"/>
          <w:szCs w:val="20"/>
        </w:rPr>
        <w:t>Condoms used</w:t>
      </w:r>
      <w:r w:rsidR="00361C97">
        <w:rPr>
          <w:sz w:val="20"/>
          <w:szCs w:val="20"/>
        </w:rPr>
        <w:t xml:space="preserve"> (</w:t>
      </w:r>
      <w:r w:rsidR="00417F73">
        <w:rPr>
          <w:sz w:val="20"/>
          <w:szCs w:val="20"/>
        </w:rPr>
        <w:t>R</w:t>
      </w:r>
      <w:r>
        <w:rPr>
          <w:sz w:val="20"/>
          <w:szCs w:val="20"/>
        </w:rPr>
        <w:t xml:space="preserve">ows </w:t>
      </w:r>
      <w:r w:rsidR="00EC61A1">
        <w:rPr>
          <w:sz w:val="20"/>
          <w:szCs w:val="20"/>
        </w:rPr>
        <w:t>65</w:t>
      </w:r>
      <w:r>
        <w:rPr>
          <w:sz w:val="20"/>
          <w:szCs w:val="20"/>
        </w:rPr>
        <w:t>-</w:t>
      </w:r>
      <w:r w:rsidR="00EC61A1">
        <w:rPr>
          <w:sz w:val="20"/>
          <w:szCs w:val="20"/>
        </w:rPr>
        <w:t>7</w:t>
      </w:r>
      <w:r>
        <w:rPr>
          <w:sz w:val="20"/>
          <w:szCs w:val="20"/>
        </w:rPr>
        <w:t>2</w:t>
      </w:r>
      <w:r w:rsidR="00361C97">
        <w:rPr>
          <w:sz w:val="20"/>
          <w:szCs w:val="20"/>
        </w:rPr>
        <w:t>)</w:t>
      </w:r>
      <w:r>
        <w:rPr>
          <w:sz w:val="20"/>
          <w:szCs w:val="20"/>
        </w:rPr>
        <w:t xml:space="preserve">. </w:t>
      </w:r>
    </w:p>
    <w:p w14:paraId="0F245989" w14:textId="3BDE5279" w:rsidR="000C299A" w:rsidRDefault="00383623" w:rsidP="00A226DF">
      <w:pPr>
        <w:rPr>
          <w:sz w:val="20"/>
          <w:szCs w:val="20"/>
        </w:rPr>
      </w:pPr>
      <w:r>
        <w:rPr>
          <w:sz w:val="20"/>
          <w:szCs w:val="20"/>
        </w:rPr>
        <w:t>Verify the calculation</w:t>
      </w:r>
      <w:r w:rsidR="00E62E71">
        <w:rPr>
          <w:sz w:val="20"/>
          <w:szCs w:val="20"/>
        </w:rPr>
        <w:t xml:space="preserve"> / formula linking to the indicators in </w:t>
      </w:r>
      <w:r w:rsidR="00A33F30">
        <w:rPr>
          <w:sz w:val="20"/>
          <w:szCs w:val="20"/>
        </w:rPr>
        <w:t xml:space="preserve">the </w:t>
      </w:r>
      <w:r w:rsidR="00E62E71">
        <w:rPr>
          <w:sz w:val="20"/>
          <w:szCs w:val="20"/>
        </w:rPr>
        <w:t>rows above</w:t>
      </w:r>
      <w:r>
        <w:rPr>
          <w:sz w:val="20"/>
          <w:szCs w:val="20"/>
        </w:rPr>
        <w:t xml:space="preserve">. </w:t>
      </w:r>
    </w:p>
    <w:p w14:paraId="3DF9150F" w14:textId="77777777" w:rsidR="00383623" w:rsidRDefault="00383623" w:rsidP="00A226DF">
      <w:pPr>
        <w:rPr>
          <w:sz w:val="20"/>
          <w:szCs w:val="20"/>
        </w:rPr>
      </w:pPr>
    </w:p>
    <w:p w14:paraId="12A0FF95" w14:textId="4FB4CFFF" w:rsidR="00383623" w:rsidRDefault="00383623" w:rsidP="00361C97">
      <w:pPr>
        <w:ind w:left="720"/>
        <w:rPr>
          <w:sz w:val="20"/>
          <w:szCs w:val="20"/>
        </w:rPr>
      </w:pPr>
      <w:r>
        <w:rPr>
          <w:sz w:val="20"/>
          <w:szCs w:val="20"/>
        </w:rPr>
        <w:t>Q</w:t>
      </w:r>
      <w:r w:rsidR="003B542E">
        <w:rPr>
          <w:sz w:val="20"/>
          <w:szCs w:val="20"/>
        </w:rPr>
        <w:t>5J</w:t>
      </w:r>
      <w:r>
        <w:rPr>
          <w:sz w:val="20"/>
          <w:szCs w:val="20"/>
        </w:rPr>
        <w:t>. Which 4 underlying parameters determine the number of condoms, by each group?</w:t>
      </w:r>
    </w:p>
    <w:p w14:paraId="69335763" w14:textId="616122A6" w:rsidR="00383623" w:rsidRDefault="00383623" w:rsidP="00361C97">
      <w:pPr>
        <w:ind w:left="720"/>
        <w:rPr>
          <w:sz w:val="20"/>
          <w:szCs w:val="20"/>
        </w:rPr>
      </w:pPr>
      <w:r w:rsidRPr="00383623">
        <w:rPr>
          <w:sz w:val="20"/>
          <w:szCs w:val="20"/>
          <w:highlight w:val="green"/>
        </w:rPr>
        <w:lastRenderedPageBreak/>
        <w:t>Answer to Q</w:t>
      </w:r>
      <w:r w:rsidR="003B542E">
        <w:rPr>
          <w:sz w:val="20"/>
          <w:szCs w:val="20"/>
          <w:highlight w:val="green"/>
        </w:rPr>
        <w:t>5J</w:t>
      </w:r>
      <w:r w:rsidRPr="00383623">
        <w:rPr>
          <w:sz w:val="20"/>
          <w:szCs w:val="20"/>
          <w:highlight w:val="green"/>
        </w:rPr>
        <w:t>. Population size, Number of partners per year, Number of sex acts per partner per year, and Condom use per sex act.</w:t>
      </w:r>
    </w:p>
    <w:p w14:paraId="697AC47D" w14:textId="6BBDC5FE" w:rsidR="000C299A" w:rsidRDefault="000C299A" w:rsidP="00A226DF">
      <w:pPr>
        <w:rPr>
          <w:sz w:val="20"/>
          <w:szCs w:val="20"/>
        </w:rPr>
      </w:pPr>
    </w:p>
    <w:p w14:paraId="20747993" w14:textId="2F68B3C7" w:rsidR="0004417B" w:rsidRDefault="00951318">
      <w:pPr>
        <w:rPr>
          <w:sz w:val="20"/>
          <w:szCs w:val="20"/>
        </w:rPr>
      </w:pPr>
      <w:r>
        <w:rPr>
          <w:sz w:val="20"/>
          <w:szCs w:val="20"/>
        </w:rPr>
        <w:t xml:space="preserve">Having reviewed all input parameters and options, you are ready to use the model. Before running program scale-up scenarios, you may want to evaluate the model’s fit or calibration against the calibration prevalence data, and if needed improve that fit. The </w:t>
      </w:r>
      <w:r w:rsidRPr="00951318">
        <w:rPr>
          <w:sz w:val="20"/>
          <w:szCs w:val="20"/>
          <w:u w:val="single"/>
        </w:rPr>
        <w:t>Annex</w:t>
      </w:r>
      <w:r>
        <w:rPr>
          <w:sz w:val="20"/>
          <w:szCs w:val="20"/>
        </w:rPr>
        <w:t xml:space="preserve"> provides guidance on how to improve the model’s fit, for a given set of country prevalence calibration data. </w:t>
      </w:r>
      <w:r w:rsidR="0004417B">
        <w:rPr>
          <w:sz w:val="20"/>
          <w:szCs w:val="20"/>
        </w:rPr>
        <w:br w:type="page"/>
      </w:r>
    </w:p>
    <w:p w14:paraId="052A91B5" w14:textId="5EC595AF" w:rsidR="00DC66DE" w:rsidRPr="0004417B" w:rsidRDefault="00951318" w:rsidP="00DC66DE">
      <w:pPr>
        <w:rPr>
          <w:sz w:val="20"/>
          <w:szCs w:val="20"/>
        </w:rPr>
      </w:pPr>
      <w:r>
        <w:rPr>
          <w:rFonts w:cs="Times New Roman (Body CS)"/>
          <w:b/>
          <w:bCs/>
          <w:smallCaps/>
          <w:color w:val="0070C0"/>
          <w:sz w:val="28"/>
          <w:szCs w:val="28"/>
        </w:rPr>
        <w:lastRenderedPageBreak/>
        <w:t>Annex. I</w:t>
      </w:r>
      <w:r w:rsidR="007C4075">
        <w:rPr>
          <w:rFonts w:cs="Times New Roman (Body CS)"/>
          <w:b/>
          <w:bCs/>
          <w:smallCaps/>
          <w:color w:val="0070C0"/>
          <w:sz w:val="28"/>
          <w:szCs w:val="28"/>
        </w:rPr>
        <w:t>mproving the baseline calibration</w:t>
      </w:r>
      <w:r w:rsidR="00145491">
        <w:rPr>
          <w:rFonts w:cs="Times New Roman (Body CS)"/>
          <w:b/>
          <w:bCs/>
          <w:smallCaps/>
          <w:color w:val="0070C0"/>
          <w:sz w:val="28"/>
          <w:szCs w:val="28"/>
        </w:rPr>
        <w:t>/fit</w:t>
      </w:r>
      <w:r w:rsidR="0004417B">
        <w:rPr>
          <w:rFonts w:cs="Times New Roman (Body CS)"/>
          <w:b/>
          <w:bCs/>
          <w:smallCaps/>
          <w:color w:val="0070C0"/>
          <w:sz w:val="28"/>
          <w:szCs w:val="28"/>
        </w:rPr>
        <w:br/>
      </w:r>
    </w:p>
    <w:p w14:paraId="20C9C8E8" w14:textId="77777777" w:rsidR="00951318" w:rsidRDefault="007C4075" w:rsidP="00951318">
      <w:pPr>
        <w:rPr>
          <w:sz w:val="20"/>
          <w:szCs w:val="20"/>
        </w:rPr>
      </w:pPr>
      <w:r>
        <w:rPr>
          <w:sz w:val="20"/>
          <w:szCs w:val="20"/>
        </w:rPr>
        <w:t xml:space="preserve">This </w:t>
      </w:r>
      <w:r w:rsidR="00951318">
        <w:rPr>
          <w:sz w:val="20"/>
          <w:szCs w:val="20"/>
        </w:rPr>
        <w:t xml:space="preserve">annex provides some guidance on </w:t>
      </w:r>
      <w:r>
        <w:rPr>
          <w:sz w:val="20"/>
          <w:szCs w:val="20"/>
        </w:rPr>
        <w:t xml:space="preserve">how to improve the model’s fit </w:t>
      </w:r>
      <w:r w:rsidR="00145491">
        <w:rPr>
          <w:sz w:val="20"/>
          <w:szCs w:val="20"/>
        </w:rPr>
        <w:t xml:space="preserve">or calibration </w:t>
      </w:r>
      <w:r>
        <w:rPr>
          <w:sz w:val="20"/>
          <w:szCs w:val="20"/>
        </w:rPr>
        <w:t xml:space="preserve">to a given set of country prevalence calibration data. </w:t>
      </w:r>
    </w:p>
    <w:p w14:paraId="7A52972A" w14:textId="77777777" w:rsidR="00951318" w:rsidRDefault="00951318" w:rsidP="00951318">
      <w:pPr>
        <w:rPr>
          <w:sz w:val="20"/>
          <w:szCs w:val="20"/>
        </w:rPr>
      </w:pPr>
    </w:p>
    <w:p w14:paraId="0BDC7220" w14:textId="782D3B8D" w:rsidR="00951318" w:rsidRDefault="00951318" w:rsidP="00951318">
      <w:pPr>
        <w:rPr>
          <w:sz w:val="20"/>
          <w:szCs w:val="20"/>
        </w:rPr>
      </w:pPr>
      <w:r>
        <w:rPr>
          <w:sz w:val="20"/>
          <w:szCs w:val="20"/>
        </w:rPr>
        <w:t>Model fit or calibration here means: the prevalence outputted by the model, matches the prevalence in the data – for the different groups and over time.</w:t>
      </w:r>
    </w:p>
    <w:p w14:paraId="2312E907" w14:textId="77777777" w:rsidR="00951318" w:rsidRDefault="00951318" w:rsidP="00951318">
      <w:pPr>
        <w:rPr>
          <w:sz w:val="20"/>
          <w:szCs w:val="20"/>
        </w:rPr>
      </w:pPr>
    </w:p>
    <w:p w14:paraId="0C568014" w14:textId="3CA1D809" w:rsidR="00E72A5A" w:rsidRDefault="00E72A5A" w:rsidP="00A226DF">
      <w:pPr>
        <w:rPr>
          <w:sz w:val="20"/>
          <w:szCs w:val="20"/>
        </w:rPr>
      </w:pPr>
      <w:r>
        <w:rPr>
          <w:sz w:val="20"/>
          <w:szCs w:val="20"/>
        </w:rPr>
        <w:t>The table below summarizes typical problems or challenges with the model fit/calibration to country data</w:t>
      </w:r>
      <w:r w:rsidR="00951318">
        <w:rPr>
          <w:sz w:val="20"/>
          <w:szCs w:val="20"/>
        </w:rPr>
        <w:t>, in the left-hand column. The right-hand column lists</w:t>
      </w:r>
      <w:r>
        <w:rPr>
          <w:sz w:val="20"/>
          <w:szCs w:val="20"/>
        </w:rPr>
        <w:t xml:space="preserve"> which input parameters are </w:t>
      </w:r>
      <w:r w:rsidR="00951318">
        <w:rPr>
          <w:sz w:val="20"/>
          <w:szCs w:val="20"/>
        </w:rPr>
        <w:t xml:space="preserve">available and </w:t>
      </w:r>
      <w:r>
        <w:rPr>
          <w:sz w:val="20"/>
          <w:szCs w:val="20"/>
        </w:rPr>
        <w:t>recommended for manipulation to improve that fit.</w:t>
      </w:r>
      <w:r w:rsidR="009D39AC">
        <w:rPr>
          <w:sz w:val="20"/>
          <w:szCs w:val="20"/>
        </w:rPr>
        <w:br/>
      </w:r>
      <w:r>
        <w:rPr>
          <w:sz w:val="20"/>
          <w:szCs w:val="20"/>
        </w:rPr>
        <w:t xml:space="preserve"> </w:t>
      </w:r>
    </w:p>
    <w:p w14:paraId="08BBBC16" w14:textId="1C272069" w:rsidR="00951318" w:rsidRDefault="00951318" w:rsidP="00951318">
      <w:pPr>
        <w:rPr>
          <w:b/>
          <w:bCs/>
          <w:i/>
          <w:iCs/>
          <w:sz w:val="20"/>
          <w:szCs w:val="20"/>
        </w:rPr>
      </w:pPr>
      <w:r>
        <w:rPr>
          <w:sz w:val="20"/>
          <w:szCs w:val="20"/>
        </w:rPr>
        <w:t xml:space="preserve">Row numbers of the SITE input file quoted in the right-hand column refer to the input file version also used in the exercises above: </w:t>
      </w:r>
      <w:r w:rsidRPr="001071D8">
        <w:rPr>
          <w:b/>
          <w:bCs/>
          <w:i/>
          <w:iCs/>
          <w:sz w:val="20"/>
          <w:szCs w:val="20"/>
        </w:rPr>
        <w:t>Syphilis</w:t>
      </w:r>
      <w:r>
        <w:rPr>
          <w:b/>
          <w:bCs/>
          <w:i/>
          <w:iCs/>
          <w:sz w:val="20"/>
          <w:szCs w:val="20"/>
        </w:rPr>
        <w:t xml:space="preserve"> SITE</w:t>
      </w:r>
      <w:r w:rsidRPr="001071D8">
        <w:rPr>
          <w:b/>
          <w:bCs/>
          <w:i/>
          <w:iCs/>
          <w:sz w:val="20"/>
          <w:szCs w:val="20"/>
        </w:rPr>
        <w:t xml:space="preserve"> model_User interface INPUT_</w:t>
      </w:r>
      <w:r w:rsidR="0004417B">
        <w:rPr>
          <w:b/>
          <w:bCs/>
          <w:i/>
          <w:iCs/>
          <w:sz w:val="20"/>
          <w:szCs w:val="20"/>
        </w:rPr>
        <w:t>29</w:t>
      </w:r>
      <w:r w:rsidRPr="001071D8">
        <w:rPr>
          <w:b/>
          <w:bCs/>
          <w:i/>
          <w:iCs/>
          <w:sz w:val="20"/>
          <w:szCs w:val="20"/>
        </w:rPr>
        <w:t>June2020</w:t>
      </w:r>
      <w:r>
        <w:rPr>
          <w:b/>
          <w:bCs/>
          <w:i/>
          <w:iCs/>
          <w:sz w:val="20"/>
          <w:szCs w:val="20"/>
        </w:rPr>
        <w:t>.xlsx</w:t>
      </w:r>
    </w:p>
    <w:p w14:paraId="06A5272B" w14:textId="77777777" w:rsidR="00951318" w:rsidRDefault="00951318" w:rsidP="00A226DF">
      <w:pPr>
        <w:rPr>
          <w:sz w:val="20"/>
          <w:szCs w:val="20"/>
        </w:rPr>
      </w:pPr>
    </w:p>
    <w:p w14:paraId="215AC75A" w14:textId="77777777" w:rsidR="00E72A5A" w:rsidRDefault="00E72A5A" w:rsidP="00A226DF">
      <w:pPr>
        <w:rPr>
          <w:sz w:val="20"/>
          <w:szCs w:val="20"/>
        </w:rPr>
      </w:pPr>
    </w:p>
    <w:tbl>
      <w:tblPr>
        <w:tblStyle w:val="TableGrid"/>
        <w:tblW w:w="10440" w:type="dxa"/>
        <w:tblInd w:w="-275" w:type="dxa"/>
        <w:tblLook w:val="04A0" w:firstRow="1" w:lastRow="0" w:firstColumn="1" w:lastColumn="0" w:noHBand="0" w:noVBand="1"/>
      </w:tblPr>
      <w:tblGrid>
        <w:gridCol w:w="4676"/>
        <w:gridCol w:w="5764"/>
      </w:tblGrid>
      <w:tr w:rsidR="009D39AC" w:rsidRPr="00F12AAE" w14:paraId="5C545CC8" w14:textId="77777777" w:rsidTr="009D39AC">
        <w:trPr>
          <w:tblHeader/>
        </w:trPr>
        <w:tc>
          <w:tcPr>
            <w:tcW w:w="4676" w:type="dxa"/>
          </w:tcPr>
          <w:p w14:paraId="098565E3" w14:textId="109C06DF" w:rsidR="009D39AC" w:rsidRPr="007C4075" w:rsidRDefault="009D39AC" w:rsidP="00A226DF">
            <w:pPr>
              <w:rPr>
                <w:b/>
                <w:bCs/>
                <w:sz w:val="20"/>
                <w:szCs w:val="20"/>
              </w:rPr>
            </w:pPr>
            <w:r w:rsidRPr="007C4075">
              <w:rPr>
                <w:b/>
                <w:bCs/>
                <w:sz w:val="20"/>
                <w:szCs w:val="20"/>
              </w:rPr>
              <w:t xml:space="preserve">Problem with </w:t>
            </w:r>
            <w:r>
              <w:rPr>
                <w:b/>
                <w:bCs/>
                <w:sz w:val="20"/>
                <w:szCs w:val="20"/>
              </w:rPr>
              <w:t xml:space="preserve">model </w:t>
            </w:r>
            <w:r w:rsidRPr="007C4075">
              <w:rPr>
                <w:b/>
                <w:bCs/>
                <w:sz w:val="20"/>
                <w:szCs w:val="20"/>
              </w:rPr>
              <w:t>fit</w:t>
            </w:r>
            <w:r>
              <w:rPr>
                <w:b/>
                <w:bCs/>
                <w:sz w:val="20"/>
                <w:szCs w:val="20"/>
              </w:rPr>
              <w:t>/calibration to prevalence data</w:t>
            </w:r>
          </w:p>
        </w:tc>
        <w:tc>
          <w:tcPr>
            <w:tcW w:w="5764" w:type="dxa"/>
          </w:tcPr>
          <w:p w14:paraId="5DA2650B" w14:textId="2A8C2346" w:rsidR="009D39AC" w:rsidRPr="007C4075" w:rsidRDefault="009D39AC" w:rsidP="00A226DF">
            <w:pPr>
              <w:rPr>
                <w:b/>
                <w:bCs/>
                <w:sz w:val="20"/>
                <w:szCs w:val="20"/>
              </w:rPr>
            </w:pPr>
            <w:r w:rsidRPr="007C4075">
              <w:rPr>
                <w:b/>
                <w:bCs/>
                <w:sz w:val="20"/>
                <w:szCs w:val="20"/>
              </w:rPr>
              <w:t>Which input parameter</w:t>
            </w:r>
            <w:r>
              <w:rPr>
                <w:b/>
                <w:bCs/>
                <w:sz w:val="20"/>
                <w:szCs w:val="20"/>
              </w:rPr>
              <w:t>s</w:t>
            </w:r>
            <w:r w:rsidRPr="007C4075">
              <w:rPr>
                <w:b/>
                <w:bCs/>
                <w:sz w:val="20"/>
                <w:szCs w:val="20"/>
              </w:rPr>
              <w:t xml:space="preserve"> to change</w:t>
            </w:r>
            <w:r>
              <w:rPr>
                <w:b/>
                <w:bCs/>
                <w:sz w:val="20"/>
                <w:szCs w:val="20"/>
              </w:rPr>
              <w:t xml:space="preserve"> </w:t>
            </w:r>
            <w:r>
              <w:rPr>
                <w:b/>
                <w:bCs/>
                <w:sz w:val="20"/>
                <w:szCs w:val="20"/>
              </w:rPr>
              <w:br/>
            </w:r>
            <w:r w:rsidRPr="00B64324">
              <w:rPr>
                <w:sz w:val="20"/>
                <w:szCs w:val="20"/>
              </w:rPr>
              <w:t xml:space="preserve">– </w:t>
            </w:r>
            <w:r>
              <w:rPr>
                <w:sz w:val="20"/>
                <w:szCs w:val="20"/>
              </w:rPr>
              <w:t xml:space="preserve">in order of: </w:t>
            </w:r>
            <w:r w:rsidRPr="00B64324">
              <w:rPr>
                <w:sz w:val="20"/>
                <w:szCs w:val="20"/>
              </w:rPr>
              <w:t>most powerful/relevant/appropriate</w:t>
            </w:r>
          </w:p>
        </w:tc>
      </w:tr>
      <w:tr w:rsidR="009D39AC" w14:paraId="56F10FBF" w14:textId="77777777" w:rsidTr="009D39AC">
        <w:tc>
          <w:tcPr>
            <w:tcW w:w="4676" w:type="dxa"/>
          </w:tcPr>
          <w:p w14:paraId="2B7845C4" w14:textId="217BEEFD" w:rsidR="009D39AC" w:rsidRDefault="009D39AC" w:rsidP="00A226DF">
            <w:pPr>
              <w:rPr>
                <w:sz w:val="20"/>
                <w:szCs w:val="20"/>
              </w:rPr>
            </w:pPr>
            <w:r>
              <w:rPr>
                <w:sz w:val="20"/>
                <w:szCs w:val="20"/>
              </w:rPr>
              <w:t>Prevalence too high or too low, across most or all groups, and throughout time</w:t>
            </w:r>
          </w:p>
        </w:tc>
        <w:tc>
          <w:tcPr>
            <w:tcW w:w="5764" w:type="dxa"/>
          </w:tcPr>
          <w:p w14:paraId="4125E31C" w14:textId="5A909A36" w:rsidR="009D39AC" w:rsidRPr="00C36CE3" w:rsidRDefault="00A33F30" w:rsidP="00DF220D">
            <w:pPr>
              <w:pStyle w:val="ListParagraph"/>
              <w:numPr>
                <w:ilvl w:val="0"/>
                <w:numId w:val="5"/>
              </w:numPr>
              <w:ind w:left="162" w:hanging="180"/>
              <w:rPr>
                <w:sz w:val="20"/>
                <w:szCs w:val="20"/>
              </w:rPr>
            </w:pPr>
            <w:r>
              <w:rPr>
                <w:sz w:val="20"/>
                <w:szCs w:val="20"/>
              </w:rPr>
              <w:t xml:space="preserve">Per-Sex-Act </w:t>
            </w:r>
            <w:r w:rsidR="009D39AC">
              <w:rPr>
                <w:sz w:val="20"/>
                <w:szCs w:val="20"/>
              </w:rPr>
              <w:t xml:space="preserve">Transmission </w:t>
            </w:r>
            <w:r>
              <w:rPr>
                <w:sz w:val="20"/>
                <w:szCs w:val="20"/>
              </w:rPr>
              <w:t>P</w:t>
            </w:r>
            <w:r w:rsidR="009D39AC">
              <w:rPr>
                <w:sz w:val="20"/>
                <w:szCs w:val="20"/>
              </w:rPr>
              <w:t>robabilities</w:t>
            </w:r>
            <w:r w:rsidR="00C36CE3">
              <w:rPr>
                <w:sz w:val="20"/>
                <w:szCs w:val="20"/>
              </w:rPr>
              <w:t xml:space="preserve"> </w:t>
            </w:r>
            <w:r w:rsidR="00C36CE3" w:rsidRPr="00B64324">
              <w:rPr>
                <w:sz w:val="20"/>
                <w:szCs w:val="20"/>
              </w:rPr>
              <w:t>(</w:t>
            </w:r>
            <w:r w:rsidR="00C36CE3">
              <w:rPr>
                <w:sz w:val="20"/>
                <w:szCs w:val="20"/>
              </w:rPr>
              <w:t xml:space="preserve">sheet </w:t>
            </w:r>
            <w:r w:rsidR="00C36CE3" w:rsidRPr="00B86DBE">
              <w:rPr>
                <w:b/>
                <w:bCs/>
                <w:i/>
                <w:iCs/>
                <w:sz w:val="20"/>
                <w:szCs w:val="20"/>
              </w:rPr>
              <w:t>Parameters</w:t>
            </w:r>
            <w:r w:rsidR="00C36CE3" w:rsidRPr="00C36CE3">
              <w:rPr>
                <w:sz w:val="20"/>
                <w:szCs w:val="20"/>
              </w:rPr>
              <w:t xml:space="preserve">, </w:t>
            </w:r>
            <w:r w:rsidR="00F22B8D">
              <w:rPr>
                <w:sz w:val="20"/>
                <w:szCs w:val="20"/>
              </w:rPr>
              <w:t>R</w:t>
            </w:r>
            <w:r w:rsidR="00F22B8D" w:rsidRPr="00C36CE3">
              <w:rPr>
                <w:sz w:val="20"/>
                <w:szCs w:val="20"/>
              </w:rPr>
              <w:t xml:space="preserve">ows </w:t>
            </w:r>
            <w:r w:rsidR="00C36CE3" w:rsidRPr="00C36CE3">
              <w:rPr>
                <w:sz w:val="20"/>
                <w:szCs w:val="20"/>
              </w:rPr>
              <w:t>34-36)</w:t>
            </w:r>
          </w:p>
          <w:p w14:paraId="40193344" w14:textId="0AF4B633" w:rsidR="00DF220D" w:rsidRDefault="00DF220D" w:rsidP="00DF220D">
            <w:pPr>
              <w:pStyle w:val="ListParagraph"/>
              <w:numPr>
                <w:ilvl w:val="0"/>
                <w:numId w:val="5"/>
              </w:numPr>
              <w:ind w:left="162" w:hanging="180"/>
              <w:rPr>
                <w:sz w:val="20"/>
                <w:szCs w:val="20"/>
              </w:rPr>
            </w:pPr>
            <w:r>
              <w:rPr>
                <w:sz w:val="20"/>
                <w:szCs w:val="20"/>
              </w:rPr>
              <w:t>Size of high-risk populations esp. FSW and clients, relative to Non-active and Low-risk populations</w:t>
            </w:r>
            <w:r w:rsidR="00C36CE3">
              <w:rPr>
                <w:sz w:val="20"/>
                <w:szCs w:val="20"/>
              </w:rPr>
              <w:t xml:space="preserve"> (</w:t>
            </w:r>
            <w:proofErr w:type="spellStart"/>
            <w:r w:rsidR="00C36CE3" w:rsidRPr="00C36CE3">
              <w:rPr>
                <w:b/>
                <w:bCs/>
                <w:i/>
                <w:iCs/>
                <w:sz w:val="20"/>
                <w:szCs w:val="20"/>
              </w:rPr>
              <w:t>PopulationSizes</w:t>
            </w:r>
            <w:proofErr w:type="spellEnd"/>
            <w:r w:rsidR="00C36CE3">
              <w:rPr>
                <w:sz w:val="20"/>
                <w:szCs w:val="20"/>
              </w:rPr>
              <w:t xml:space="preserve">, </w:t>
            </w:r>
            <w:r w:rsidR="00F22B8D">
              <w:rPr>
                <w:sz w:val="20"/>
                <w:szCs w:val="20"/>
              </w:rPr>
              <w:t xml:space="preserve">Rows </w:t>
            </w:r>
            <w:r w:rsidR="00C36CE3">
              <w:rPr>
                <w:sz w:val="20"/>
                <w:szCs w:val="20"/>
              </w:rPr>
              <w:t>8 &amp; 1</w:t>
            </w:r>
            <w:r w:rsidR="00EC61A1">
              <w:rPr>
                <w:sz w:val="20"/>
                <w:szCs w:val="20"/>
              </w:rPr>
              <w:t>5</w:t>
            </w:r>
            <w:r w:rsidR="00C36CE3">
              <w:rPr>
                <w:sz w:val="20"/>
                <w:szCs w:val="20"/>
              </w:rPr>
              <w:t>)</w:t>
            </w:r>
          </w:p>
        </w:tc>
      </w:tr>
      <w:tr w:rsidR="009D39AC" w14:paraId="0D89E43D" w14:textId="77777777" w:rsidTr="009D39AC">
        <w:tc>
          <w:tcPr>
            <w:tcW w:w="4676" w:type="dxa"/>
          </w:tcPr>
          <w:p w14:paraId="78F6082C" w14:textId="3D775CCB" w:rsidR="009D39AC" w:rsidRDefault="009D39AC" w:rsidP="00A226DF">
            <w:pPr>
              <w:rPr>
                <w:sz w:val="20"/>
                <w:szCs w:val="20"/>
              </w:rPr>
            </w:pPr>
            <w:r>
              <w:rPr>
                <w:sz w:val="20"/>
                <w:szCs w:val="20"/>
              </w:rPr>
              <w:t>Prevalence too high or too low, MSM</w:t>
            </w:r>
          </w:p>
        </w:tc>
        <w:tc>
          <w:tcPr>
            <w:tcW w:w="5764" w:type="dxa"/>
          </w:tcPr>
          <w:p w14:paraId="11A46E82" w14:textId="13356F8F" w:rsidR="009D39AC" w:rsidRPr="0004417B" w:rsidRDefault="00A33F30" w:rsidP="00A226DF">
            <w:pPr>
              <w:pStyle w:val="ListParagraph"/>
              <w:numPr>
                <w:ilvl w:val="0"/>
                <w:numId w:val="5"/>
              </w:numPr>
              <w:ind w:left="162" w:hanging="180"/>
              <w:rPr>
                <w:sz w:val="20"/>
                <w:szCs w:val="20"/>
              </w:rPr>
            </w:pPr>
            <w:r>
              <w:rPr>
                <w:sz w:val="20"/>
                <w:szCs w:val="20"/>
              </w:rPr>
              <w:t xml:space="preserve">Per-Sex-Act </w:t>
            </w:r>
            <w:r w:rsidR="009D39AC">
              <w:rPr>
                <w:sz w:val="20"/>
                <w:szCs w:val="20"/>
              </w:rPr>
              <w:t xml:space="preserve">Transmission probability </w:t>
            </w:r>
            <w:r>
              <w:rPr>
                <w:sz w:val="20"/>
                <w:szCs w:val="20"/>
              </w:rPr>
              <w:t>(Man to Man)</w:t>
            </w:r>
            <w:r w:rsidR="00C36CE3">
              <w:rPr>
                <w:sz w:val="20"/>
                <w:szCs w:val="20"/>
              </w:rPr>
              <w:t xml:space="preserve"> </w:t>
            </w:r>
            <w:r w:rsidR="00C36CE3" w:rsidRPr="00B64324">
              <w:rPr>
                <w:sz w:val="20"/>
                <w:szCs w:val="20"/>
              </w:rPr>
              <w:t>(</w:t>
            </w:r>
            <w:r w:rsidR="00C36CE3" w:rsidRPr="00B86DBE">
              <w:rPr>
                <w:b/>
                <w:bCs/>
                <w:i/>
                <w:iCs/>
                <w:sz w:val="20"/>
                <w:szCs w:val="20"/>
              </w:rPr>
              <w:t>Parameters</w:t>
            </w:r>
            <w:r w:rsidR="00C36CE3" w:rsidRPr="00C36CE3">
              <w:rPr>
                <w:sz w:val="20"/>
                <w:szCs w:val="20"/>
              </w:rPr>
              <w:t xml:space="preserve">, </w:t>
            </w:r>
            <w:r>
              <w:rPr>
                <w:sz w:val="20"/>
                <w:szCs w:val="20"/>
              </w:rPr>
              <w:t>R</w:t>
            </w:r>
            <w:r w:rsidR="00C36CE3" w:rsidRPr="00C36CE3">
              <w:rPr>
                <w:sz w:val="20"/>
                <w:szCs w:val="20"/>
              </w:rPr>
              <w:t xml:space="preserve">ow </w:t>
            </w:r>
            <w:r w:rsidR="00C36CE3">
              <w:rPr>
                <w:sz w:val="20"/>
                <w:szCs w:val="20"/>
              </w:rPr>
              <w:t>3</w:t>
            </w:r>
            <w:r w:rsidR="00C36CE3" w:rsidRPr="00C36CE3">
              <w:rPr>
                <w:sz w:val="20"/>
                <w:szCs w:val="20"/>
              </w:rPr>
              <w:t>6)</w:t>
            </w:r>
          </w:p>
        </w:tc>
      </w:tr>
      <w:tr w:rsidR="009D39AC" w14:paraId="3DDE0B89" w14:textId="77777777" w:rsidTr="009D39AC">
        <w:tc>
          <w:tcPr>
            <w:tcW w:w="4676" w:type="dxa"/>
          </w:tcPr>
          <w:p w14:paraId="7E05B6B9" w14:textId="309F403E" w:rsidR="009D39AC" w:rsidRPr="007C4075" w:rsidRDefault="009D39AC" w:rsidP="00A226DF">
            <w:pPr>
              <w:rPr>
                <w:sz w:val="20"/>
                <w:szCs w:val="20"/>
                <w:lang w:val="en-GB"/>
              </w:rPr>
            </w:pPr>
            <w:r>
              <w:rPr>
                <w:sz w:val="20"/>
                <w:szCs w:val="20"/>
                <w:lang w:val="en-GB"/>
              </w:rPr>
              <w:t>Prevalence declines too much or too little, over 1970-2019</w:t>
            </w:r>
          </w:p>
        </w:tc>
        <w:tc>
          <w:tcPr>
            <w:tcW w:w="5764" w:type="dxa"/>
          </w:tcPr>
          <w:p w14:paraId="404220CA" w14:textId="62F33985" w:rsidR="009D39AC" w:rsidRDefault="009D39AC" w:rsidP="00A226DF">
            <w:pPr>
              <w:rPr>
                <w:sz w:val="20"/>
                <w:szCs w:val="20"/>
                <w:lang w:val="en-GB"/>
              </w:rPr>
            </w:pPr>
            <w:r>
              <w:rPr>
                <w:sz w:val="20"/>
                <w:szCs w:val="20"/>
                <w:lang w:val="en-GB"/>
              </w:rPr>
              <w:t>Time pattern in:</w:t>
            </w:r>
          </w:p>
          <w:p w14:paraId="27388960" w14:textId="694154DD" w:rsidR="009D39AC" w:rsidRPr="00B86DBE" w:rsidRDefault="00EC61A1" w:rsidP="00B86DBE">
            <w:pPr>
              <w:pStyle w:val="ListParagraph"/>
              <w:numPr>
                <w:ilvl w:val="0"/>
                <w:numId w:val="5"/>
              </w:numPr>
              <w:ind w:left="162" w:hanging="180"/>
              <w:rPr>
                <w:sz w:val="20"/>
                <w:szCs w:val="20"/>
                <w:lang w:val="en-GB"/>
              </w:rPr>
            </w:pPr>
            <w:r>
              <w:rPr>
                <w:sz w:val="20"/>
                <w:szCs w:val="20"/>
              </w:rPr>
              <w:t>Condom use per sex act</w:t>
            </w:r>
            <w:r w:rsidR="009D39AC">
              <w:rPr>
                <w:sz w:val="20"/>
                <w:szCs w:val="20"/>
              </w:rPr>
              <w:t xml:space="preserve"> (</w:t>
            </w:r>
            <w:proofErr w:type="spellStart"/>
            <w:r w:rsidR="009D39AC">
              <w:rPr>
                <w:b/>
                <w:bCs/>
                <w:i/>
                <w:iCs/>
                <w:sz w:val="20"/>
                <w:szCs w:val="20"/>
              </w:rPr>
              <w:t>SexualBehaviour</w:t>
            </w:r>
            <w:proofErr w:type="spellEnd"/>
            <w:r w:rsidR="009D39AC" w:rsidRPr="00B86DBE">
              <w:rPr>
                <w:sz w:val="20"/>
                <w:szCs w:val="20"/>
              </w:rPr>
              <w:t>,</w:t>
            </w:r>
            <w:r w:rsidR="009D39AC">
              <w:rPr>
                <w:b/>
                <w:bCs/>
                <w:i/>
                <w:iCs/>
                <w:sz w:val="20"/>
                <w:szCs w:val="20"/>
              </w:rPr>
              <w:t xml:space="preserve"> </w:t>
            </w:r>
            <w:r w:rsidR="00F22B8D">
              <w:rPr>
                <w:sz w:val="20"/>
                <w:szCs w:val="20"/>
              </w:rPr>
              <w:t>R</w:t>
            </w:r>
            <w:r w:rsidR="00F22B8D" w:rsidRPr="00B86DBE">
              <w:rPr>
                <w:sz w:val="20"/>
                <w:szCs w:val="20"/>
              </w:rPr>
              <w:t xml:space="preserve">ows </w:t>
            </w:r>
            <w:r w:rsidR="009D39AC" w:rsidRPr="00B86DBE">
              <w:rPr>
                <w:sz w:val="20"/>
                <w:szCs w:val="20"/>
              </w:rPr>
              <w:t>5</w:t>
            </w:r>
            <w:r w:rsidR="009D39AC">
              <w:rPr>
                <w:sz w:val="20"/>
                <w:szCs w:val="20"/>
              </w:rPr>
              <w:t>2</w:t>
            </w:r>
            <w:r w:rsidR="009D39AC" w:rsidRPr="00B86DBE">
              <w:rPr>
                <w:sz w:val="20"/>
                <w:szCs w:val="20"/>
              </w:rPr>
              <w:t>-</w:t>
            </w:r>
            <w:r w:rsidR="009D39AC">
              <w:rPr>
                <w:sz w:val="20"/>
                <w:szCs w:val="20"/>
              </w:rPr>
              <w:t>55</w:t>
            </w:r>
            <w:r w:rsidR="009D39AC" w:rsidRPr="00B86DBE">
              <w:rPr>
                <w:sz w:val="20"/>
                <w:szCs w:val="20"/>
              </w:rPr>
              <w:t>)</w:t>
            </w:r>
          </w:p>
          <w:p w14:paraId="3A9B1367" w14:textId="49CD13B6" w:rsidR="009D39AC" w:rsidRPr="00B86DBE" w:rsidRDefault="00EC61A1" w:rsidP="00B86DBE">
            <w:pPr>
              <w:pStyle w:val="ListParagraph"/>
              <w:numPr>
                <w:ilvl w:val="0"/>
                <w:numId w:val="5"/>
              </w:numPr>
              <w:ind w:left="162" w:hanging="180"/>
              <w:rPr>
                <w:sz w:val="20"/>
                <w:szCs w:val="20"/>
              </w:rPr>
            </w:pPr>
            <w:r>
              <w:rPr>
                <w:sz w:val="20"/>
                <w:szCs w:val="20"/>
              </w:rPr>
              <w:t>Coverage of s</w:t>
            </w:r>
            <w:r w:rsidR="009D39AC" w:rsidRPr="00B86DBE">
              <w:rPr>
                <w:sz w:val="20"/>
                <w:szCs w:val="20"/>
              </w:rPr>
              <w:t>yphilis screening</w:t>
            </w:r>
          </w:p>
          <w:p w14:paraId="5685C844" w14:textId="31559B27" w:rsidR="009D39AC" w:rsidRPr="00B86DBE" w:rsidRDefault="00EC61A1" w:rsidP="00B86DBE">
            <w:pPr>
              <w:pStyle w:val="ListParagraph"/>
              <w:numPr>
                <w:ilvl w:val="0"/>
                <w:numId w:val="5"/>
              </w:numPr>
              <w:ind w:left="162" w:hanging="180"/>
              <w:rPr>
                <w:sz w:val="20"/>
                <w:szCs w:val="20"/>
              </w:rPr>
            </w:pPr>
            <w:r>
              <w:rPr>
                <w:sz w:val="20"/>
                <w:szCs w:val="20"/>
              </w:rPr>
              <w:t xml:space="preserve">Coverage of </w:t>
            </w:r>
            <w:r w:rsidR="009D39AC" w:rsidRPr="00B86DBE">
              <w:rPr>
                <w:sz w:val="20"/>
                <w:szCs w:val="20"/>
              </w:rPr>
              <w:t>clinical treatment</w:t>
            </w:r>
            <w:r w:rsidR="009D39AC">
              <w:rPr>
                <w:sz w:val="20"/>
                <w:szCs w:val="20"/>
              </w:rPr>
              <w:t xml:space="preserve"> </w:t>
            </w:r>
            <w:r w:rsidR="009D39AC" w:rsidRPr="00B64324">
              <w:rPr>
                <w:sz w:val="20"/>
                <w:szCs w:val="20"/>
              </w:rPr>
              <w:t>(</w:t>
            </w:r>
            <w:proofErr w:type="spellStart"/>
            <w:r w:rsidR="009D39AC" w:rsidRPr="00B86DBE">
              <w:rPr>
                <w:b/>
                <w:bCs/>
                <w:i/>
                <w:iCs/>
                <w:sz w:val="20"/>
                <w:szCs w:val="20"/>
              </w:rPr>
              <w:t>Screen+Treat</w:t>
            </w:r>
            <w:proofErr w:type="spellEnd"/>
            <w:r w:rsidR="009D39AC" w:rsidRPr="00B64324">
              <w:rPr>
                <w:sz w:val="20"/>
                <w:szCs w:val="20"/>
              </w:rPr>
              <w:t xml:space="preserve">, </w:t>
            </w:r>
            <w:r w:rsidR="00F22B8D">
              <w:rPr>
                <w:sz w:val="20"/>
                <w:szCs w:val="20"/>
              </w:rPr>
              <w:t>R</w:t>
            </w:r>
            <w:r w:rsidR="00F22B8D" w:rsidRPr="00B64324">
              <w:rPr>
                <w:sz w:val="20"/>
                <w:szCs w:val="20"/>
              </w:rPr>
              <w:t xml:space="preserve">ows </w:t>
            </w:r>
            <w:r w:rsidR="009D39AC" w:rsidRPr="00B64324">
              <w:rPr>
                <w:sz w:val="20"/>
                <w:szCs w:val="20"/>
              </w:rPr>
              <w:t>35-43)</w:t>
            </w:r>
          </w:p>
          <w:p w14:paraId="18CE92F7" w14:textId="51C56C50" w:rsidR="009D39AC" w:rsidRPr="00B86DBE" w:rsidRDefault="00EC61A1" w:rsidP="00B86DBE">
            <w:pPr>
              <w:pStyle w:val="ListParagraph"/>
              <w:numPr>
                <w:ilvl w:val="0"/>
                <w:numId w:val="5"/>
              </w:numPr>
              <w:ind w:left="162" w:hanging="180"/>
              <w:rPr>
                <w:sz w:val="20"/>
                <w:szCs w:val="20"/>
              </w:rPr>
            </w:pPr>
            <w:r>
              <w:rPr>
                <w:sz w:val="20"/>
                <w:szCs w:val="20"/>
              </w:rPr>
              <w:t>Coverage of C</w:t>
            </w:r>
            <w:r w:rsidR="009D39AC" w:rsidRPr="00B86DBE">
              <w:rPr>
                <w:sz w:val="20"/>
                <w:szCs w:val="20"/>
              </w:rPr>
              <w:t>ontact tracing</w:t>
            </w:r>
            <w:r w:rsidR="009D39AC">
              <w:rPr>
                <w:sz w:val="20"/>
                <w:szCs w:val="20"/>
              </w:rPr>
              <w:t xml:space="preserve"> </w:t>
            </w:r>
            <w:r w:rsidR="009D39AC" w:rsidRPr="00B64324">
              <w:rPr>
                <w:sz w:val="20"/>
                <w:szCs w:val="20"/>
              </w:rPr>
              <w:t>(</w:t>
            </w:r>
            <w:proofErr w:type="spellStart"/>
            <w:r w:rsidR="009D39AC" w:rsidRPr="00B86DBE">
              <w:rPr>
                <w:b/>
                <w:bCs/>
                <w:i/>
                <w:iCs/>
                <w:sz w:val="20"/>
                <w:szCs w:val="20"/>
              </w:rPr>
              <w:t>ContactTracing</w:t>
            </w:r>
            <w:proofErr w:type="spellEnd"/>
            <w:r w:rsidR="009D39AC" w:rsidRPr="00B64324">
              <w:rPr>
                <w:sz w:val="20"/>
                <w:szCs w:val="20"/>
              </w:rPr>
              <w:t xml:space="preserve">, </w:t>
            </w:r>
            <w:r w:rsidR="00F22B8D">
              <w:rPr>
                <w:sz w:val="20"/>
                <w:szCs w:val="20"/>
              </w:rPr>
              <w:t>R</w:t>
            </w:r>
            <w:r w:rsidR="00F22B8D" w:rsidRPr="00B64324">
              <w:rPr>
                <w:sz w:val="20"/>
                <w:szCs w:val="20"/>
              </w:rPr>
              <w:t xml:space="preserve">ows </w:t>
            </w:r>
            <w:r w:rsidR="009D39AC" w:rsidRPr="00B64324">
              <w:rPr>
                <w:sz w:val="20"/>
                <w:szCs w:val="20"/>
              </w:rPr>
              <w:t>6-12)</w:t>
            </w:r>
          </w:p>
          <w:p w14:paraId="3C3FCABF" w14:textId="57745BFF" w:rsidR="009D39AC" w:rsidRPr="00B86DBE" w:rsidRDefault="009D39AC" w:rsidP="00B86DBE">
            <w:pPr>
              <w:pStyle w:val="ListParagraph"/>
              <w:numPr>
                <w:ilvl w:val="0"/>
                <w:numId w:val="5"/>
              </w:numPr>
              <w:ind w:left="162" w:hanging="180"/>
              <w:rPr>
                <w:sz w:val="20"/>
                <w:szCs w:val="20"/>
                <w:lang w:val="en-GB"/>
              </w:rPr>
            </w:pPr>
            <w:r w:rsidRPr="00B86DBE">
              <w:rPr>
                <w:sz w:val="20"/>
                <w:szCs w:val="20"/>
              </w:rPr>
              <w:t>Number of partners per year</w:t>
            </w:r>
            <w:r>
              <w:rPr>
                <w:sz w:val="20"/>
                <w:szCs w:val="20"/>
              </w:rPr>
              <w:t xml:space="preserve"> (</w:t>
            </w:r>
            <w:proofErr w:type="spellStart"/>
            <w:r>
              <w:rPr>
                <w:b/>
                <w:bCs/>
                <w:i/>
                <w:iCs/>
                <w:sz w:val="20"/>
                <w:szCs w:val="20"/>
              </w:rPr>
              <w:t>SexualBehaviour</w:t>
            </w:r>
            <w:proofErr w:type="spellEnd"/>
            <w:r w:rsidRPr="00B86DBE">
              <w:rPr>
                <w:sz w:val="20"/>
                <w:szCs w:val="20"/>
              </w:rPr>
              <w:t>,</w:t>
            </w:r>
            <w:r>
              <w:rPr>
                <w:b/>
                <w:bCs/>
                <w:i/>
                <w:iCs/>
                <w:sz w:val="20"/>
                <w:szCs w:val="20"/>
              </w:rPr>
              <w:t xml:space="preserve"> </w:t>
            </w:r>
            <w:r w:rsidR="00F22B8D">
              <w:rPr>
                <w:sz w:val="20"/>
                <w:szCs w:val="20"/>
              </w:rPr>
              <w:t>R</w:t>
            </w:r>
            <w:r w:rsidR="00F22B8D" w:rsidRPr="00B86DBE">
              <w:rPr>
                <w:sz w:val="20"/>
                <w:szCs w:val="20"/>
              </w:rPr>
              <w:t xml:space="preserve">ows </w:t>
            </w:r>
            <w:r w:rsidRPr="00B86DBE">
              <w:rPr>
                <w:sz w:val="20"/>
                <w:szCs w:val="20"/>
              </w:rPr>
              <w:t>5-13)</w:t>
            </w:r>
          </w:p>
        </w:tc>
      </w:tr>
      <w:tr w:rsidR="009D39AC" w14:paraId="5953AD9D" w14:textId="77777777" w:rsidTr="009D39AC">
        <w:tc>
          <w:tcPr>
            <w:tcW w:w="4676" w:type="dxa"/>
          </w:tcPr>
          <w:p w14:paraId="0A6D5A51" w14:textId="120782B5" w:rsidR="009D39AC" w:rsidRDefault="009D39AC" w:rsidP="00A226DF">
            <w:pPr>
              <w:rPr>
                <w:sz w:val="20"/>
                <w:szCs w:val="20"/>
              </w:rPr>
            </w:pPr>
            <w:r>
              <w:rPr>
                <w:sz w:val="20"/>
                <w:szCs w:val="20"/>
              </w:rPr>
              <w:t>The difference in prevalence between high-risk groups (FSW, HRM and MSM) and medium-risk and esp. low-risk groups is too small or too large</w:t>
            </w:r>
          </w:p>
        </w:tc>
        <w:tc>
          <w:tcPr>
            <w:tcW w:w="5764" w:type="dxa"/>
          </w:tcPr>
          <w:p w14:paraId="16A6B51A" w14:textId="77777777" w:rsidR="009D39AC" w:rsidRDefault="009D39AC" w:rsidP="00A226DF">
            <w:pPr>
              <w:rPr>
                <w:sz w:val="20"/>
                <w:szCs w:val="20"/>
              </w:rPr>
            </w:pPr>
            <w:r>
              <w:rPr>
                <w:sz w:val="20"/>
                <w:szCs w:val="20"/>
              </w:rPr>
              <w:t>Group-specific sexual behavioural and intervention coverages (see rows above).</w:t>
            </w:r>
          </w:p>
          <w:p w14:paraId="202E9D36" w14:textId="452E274E" w:rsidR="009D39AC" w:rsidRDefault="009D39AC" w:rsidP="00A226DF">
            <w:pPr>
              <w:rPr>
                <w:sz w:val="20"/>
                <w:szCs w:val="20"/>
              </w:rPr>
            </w:pPr>
          </w:p>
        </w:tc>
      </w:tr>
      <w:tr w:rsidR="009D39AC" w14:paraId="1E9A4068" w14:textId="77777777" w:rsidTr="009D39AC">
        <w:tc>
          <w:tcPr>
            <w:tcW w:w="4676" w:type="dxa"/>
          </w:tcPr>
          <w:p w14:paraId="7A38470F" w14:textId="1CD5CEC6" w:rsidR="009D39AC" w:rsidRDefault="009D39AC" w:rsidP="00A226DF">
            <w:pPr>
              <w:rPr>
                <w:sz w:val="20"/>
                <w:szCs w:val="20"/>
              </w:rPr>
            </w:pPr>
            <w:r>
              <w:rPr>
                <w:sz w:val="20"/>
                <w:szCs w:val="20"/>
              </w:rPr>
              <w:t xml:space="preserve">Incidence too high (or too low) for a given prevalence. </w:t>
            </w:r>
            <w:r>
              <w:rPr>
                <w:sz w:val="20"/>
                <w:szCs w:val="20"/>
              </w:rPr>
              <w:br/>
              <w:t>Unlike cohort studies, routine surveillance data don’t directly provide incidence. Case reports provide some indication of incident cases, but invariably represent only a part of actual cases, due to &lt;100% symptoms, &lt;100% treatment coverage and &lt;100% reporting completeness</w:t>
            </w:r>
          </w:p>
        </w:tc>
        <w:tc>
          <w:tcPr>
            <w:tcW w:w="5764" w:type="dxa"/>
          </w:tcPr>
          <w:p w14:paraId="5DF26ECC" w14:textId="27F28447" w:rsidR="009D39AC" w:rsidRPr="00B64324" w:rsidRDefault="009D39AC" w:rsidP="00B64324">
            <w:pPr>
              <w:pStyle w:val="ListParagraph"/>
              <w:numPr>
                <w:ilvl w:val="0"/>
                <w:numId w:val="5"/>
              </w:numPr>
              <w:ind w:left="162" w:hanging="180"/>
              <w:rPr>
                <w:sz w:val="20"/>
                <w:szCs w:val="20"/>
              </w:rPr>
            </w:pPr>
            <w:r w:rsidRPr="00B64324">
              <w:rPr>
                <w:sz w:val="20"/>
                <w:szCs w:val="20"/>
              </w:rPr>
              <w:t>Decrease (or increase) coverage of clinical treatment (</w:t>
            </w:r>
            <w:proofErr w:type="spellStart"/>
            <w:r w:rsidRPr="00B86DBE">
              <w:rPr>
                <w:b/>
                <w:bCs/>
                <w:i/>
                <w:iCs/>
                <w:sz w:val="20"/>
                <w:szCs w:val="20"/>
              </w:rPr>
              <w:t>Screen+Treat</w:t>
            </w:r>
            <w:proofErr w:type="spellEnd"/>
            <w:r w:rsidRPr="00B64324">
              <w:rPr>
                <w:sz w:val="20"/>
                <w:szCs w:val="20"/>
              </w:rPr>
              <w:t xml:space="preserve">, </w:t>
            </w:r>
            <w:r w:rsidR="00F22B8D">
              <w:rPr>
                <w:sz w:val="20"/>
                <w:szCs w:val="20"/>
              </w:rPr>
              <w:t>R</w:t>
            </w:r>
            <w:r w:rsidR="00F22B8D" w:rsidRPr="00B64324">
              <w:rPr>
                <w:sz w:val="20"/>
                <w:szCs w:val="20"/>
              </w:rPr>
              <w:t xml:space="preserve">ows </w:t>
            </w:r>
            <w:r w:rsidRPr="00B64324">
              <w:rPr>
                <w:sz w:val="20"/>
                <w:szCs w:val="20"/>
              </w:rPr>
              <w:t>35-43)</w:t>
            </w:r>
          </w:p>
          <w:p w14:paraId="0AEC6D63" w14:textId="1DC94CEB" w:rsidR="009D39AC" w:rsidRPr="00B64324" w:rsidRDefault="009D39AC" w:rsidP="00B64324">
            <w:pPr>
              <w:pStyle w:val="ListParagraph"/>
              <w:numPr>
                <w:ilvl w:val="0"/>
                <w:numId w:val="5"/>
              </w:numPr>
              <w:ind w:left="162" w:hanging="180"/>
              <w:rPr>
                <w:sz w:val="20"/>
                <w:szCs w:val="20"/>
              </w:rPr>
            </w:pPr>
            <w:r w:rsidRPr="00B64324">
              <w:rPr>
                <w:sz w:val="20"/>
                <w:szCs w:val="20"/>
              </w:rPr>
              <w:t>Decrease (or increase) coverage of contact tracing (</w:t>
            </w:r>
            <w:proofErr w:type="spellStart"/>
            <w:r w:rsidRPr="00B86DBE">
              <w:rPr>
                <w:b/>
                <w:bCs/>
                <w:i/>
                <w:iCs/>
                <w:sz w:val="20"/>
                <w:szCs w:val="20"/>
              </w:rPr>
              <w:t>ContactTracing</w:t>
            </w:r>
            <w:proofErr w:type="spellEnd"/>
            <w:r w:rsidRPr="00B64324">
              <w:rPr>
                <w:sz w:val="20"/>
                <w:szCs w:val="20"/>
              </w:rPr>
              <w:t xml:space="preserve">, </w:t>
            </w:r>
            <w:r w:rsidR="00F22B8D">
              <w:rPr>
                <w:sz w:val="20"/>
                <w:szCs w:val="20"/>
              </w:rPr>
              <w:t>R</w:t>
            </w:r>
            <w:r w:rsidR="00F22B8D" w:rsidRPr="00B64324">
              <w:rPr>
                <w:sz w:val="20"/>
                <w:szCs w:val="20"/>
              </w:rPr>
              <w:t xml:space="preserve">ows </w:t>
            </w:r>
            <w:r w:rsidRPr="00B64324">
              <w:rPr>
                <w:sz w:val="20"/>
                <w:szCs w:val="20"/>
              </w:rPr>
              <w:t>6-12)</w:t>
            </w:r>
          </w:p>
          <w:p w14:paraId="5C0B0149" w14:textId="2D4CC973" w:rsidR="009D39AC" w:rsidRPr="0004417B" w:rsidRDefault="009D39AC" w:rsidP="00A226DF">
            <w:pPr>
              <w:pStyle w:val="ListParagraph"/>
              <w:numPr>
                <w:ilvl w:val="0"/>
                <w:numId w:val="5"/>
              </w:numPr>
              <w:ind w:left="162" w:hanging="180"/>
              <w:rPr>
                <w:sz w:val="20"/>
                <w:szCs w:val="20"/>
              </w:rPr>
            </w:pPr>
            <w:r w:rsidRPr="00B64324">
              <w:rPr>
                <w:sz w:val="20"/>
                <w:szCs w:val="20"/>
              </w:rPr>
              <w:t>Prolong (or shorten) duration of the latent stage (</w:t>
            </w:r>
            <w:r w:rsidRPr="00B86DBE">
              <w:rPr>
                <w:b/>
                <w:bCs/>
                <w:i/>
                <w:iCs/>
                <w:sz w:val="20"/>
                <w:szCs w:val="20"/>
              </w:rPr>
              <w:t>Parameters</w:t>
            </w:r>
            <w:r w:rsidRPr="00B64324">
              <w:rPr>
                <w:sz w:val="20"/>
                <w:szCs w:val="20"/>
              </w:rPr>
              <w:t xml:space="preserve">, </w:t>
            </w:r>
            <w:r w:rsidR="00F22B8D">
              <w:rPr>
                <w:sz w:val="20"/>
                <w:szCs w:val="20"/>
              </w:rPr>
              <w:t>C</w:t>
            </w:r>
            <w:r w:rsidR="00F22B8D" w:rsidRPr="00B64324">
              <w:rPr>
                <w:sz w:val="20"/>
                <w:szCs w:val="20"/>
              </w:rPr>
              <w:t xml:space="preserve">ell </w:t>
            </w:r>
            <w:r w:rsidRPr="00B64324">
              <w:rPr>
                <w:sz w:val="20"/>
                <w:szCs w:val="20"/>
              </w:rPr>
              <w:t>C22)</w:t>
            </w:r>
          </w:p>
        </w:tc>
      </w:tr>
      <w:tr w:rsidR="009D39AC" w14:paraId="35FC7510" w14:textId="77777777" w:rsidTr="009D39AC">
        <w:tc>
          <w:tcPr>
            <w:tcW w:w="4676" w:type="dxa"/>
          </w:tcPr>
          <w:p w14:paraId="1EA5934D" w14:textId="331D9897" w:rsidR="009D39AC" w:rsidRDefault="009D39AC" w:rsidP="00A226DF">
            <w:pPr>
              <w:rPr>
                <w:sz w:val="20"/>
                <w:szCs w:val="20"/>
              </w:rPr>
            </w:pPr>
            <w:r>
              <w:rPr>
                <w:sz w:val="20"/>
                <w:szCs w:val="20"/>
              </w:rPr>
              <w:t>The ratio in prevalence, between RPR+ and ‘TPHA+ but RPR-‘ is too high, that is, there are too many people in Compartment 6 (recovered after treatment)</w:t>
            </w:r>
          </w:p>
        </w:tc>
        <w:tc>
          <w:tcPr>
            <w:tcW w:w="5764" w:type="dxa"/>
          </w:tcPr>
          <w:p w14:paraId="5110A951" w14:textId="5BF986EB" w:rsidR="009D39AC" w:rsidRDefault="009D39AC" w:rsidP="00A226DF">
            <w:pPr>
              <w:rPr>
                <w:sz w:val="20"/>
                <w:szCs w:val="20"/>
              </w:rPr>
            </w:pPr>
            <w:r>
              <w:rPr>
                <w:sz w:val="20"/>
                <w:szCs w:val="20"/>
              </w:rPr>
              <w:t>Compartment 6 reflects historic cumulative exposure</w:t>
            </w:r>
            <w:r w:rsidR="00EC61A1">
              <w:rPr>
                <w:sz w:val="20"/>
                <w:szCs w:val="20"/>
              </w:rPr>
              <w:t xml:space="preserve"> to syphilis</w:t>
            </w:r>
            <w:r>
              <w:rPr>
                <w:sz w:val="20"/>
                <w:szCs w:val="20"/>
              </w:rPr>
              <w:t xml:space="preserve">. Its prevalence is relatively high (for a given prevalence of active, RPR+ syphilis, </w:t>
            </w:r>
            <w:r w:rsidR="00EC61A1">
              <w:rPr>
                <w:sz w:val="20"/>
                <w:szCs w:val="20"/>
              </w:rPr>
              <w:t xml:space="preserve">i.e. </w:t>
            </w:r>
            <w:r w:rsidR="00F22B8D">
              <w:rPr>
                <w:sz w:val="20"/>
                <w:szCs w:val="20"/>
              </w:rPr>
              <w:t xml:space="preserve">Compartments </w:t>
            </w:r>
            <w:r>
              <w:rPr>
                <w:sz w:val="20"/>
                <w:szCs w:val="20"/>
              </w:rPr>
              <w:t xml:space="preserve">2-5) if syphilis declined much in </w:t>
            </w:r>
            <w:r w:rsidR="00EC61A1">
              <w:rPr>
                <w:sz w:val="20"/>
                <w:szCs w:val="20"/>
              </w:rPr>
              <w:t>recent</w:t>
            </w:r>
            <w:r>
              <w:rPr>
                <w:sz w:val="20"/>
                <w:szCs w:val="20"/>
              </w:rPr>
              <w:t xml:space="preserve"> decades. </w:t>
            </w:r>
            <w:r w:rsidR="00EC61A1">
              <w:rPr>
                <w:sz w:val="20"/>
                <w:szCs w:val="20"/>
              </w:rPr>
              <w:t xml:space="preserve">The RPR/TPHA ratio </w:t>
            </w:r>
            <w:r>
              <w:rPr>
                <w:sz w:val="20"/>
                <w:szCs w:val="20"/>
              </w:rPr>
              <w:t xml:space="preserve">can </w:t>
            </w:r>
            <w:r w:rsidR="00EC61A1">
              <w:rPr>
                <w:sz w:val="20"/>
                <w:szCs w:val="20"/>
              </w:rPr>
              <w:t xml:space="preserve">therefore </w:t>
            </w:r>
            <w:r>
              <w:rPr>
                <w:sz w:val="20"/>
                <w:szCs w:val="20"/>
              </w:rPr>
              <w:t>be manipulated by changing the historic time patterns in intervention coverage and</w:t>
            </w:r>
            <w:r w:rsidR="00EC61A1">
              <w:rPr>
                <w:sz w:val="20"/>
                <w:szCs w:val="20"/>
              </w:rPr>
              <w:t>/or</w:t>
            </w:r>
            <w:r>
              <w:rPr>
                <w:sz w:val="20"/>
                <w:szCs w:val="20"/>
              </w:rPr>
              <w:t xml:space="preserve"> in sexual </w:t>
            </w:r>
            <w:r w:rsidR="00EC61A1">
              <w:rPr>
                <w:sz w:val="20"/>
                <w:szCs w:val="20"/>
              </w:rPr>
              <w:t>ris</w:t>
            </w:r>
            <w:r w:rsidR="00C87BE8">
              <w:rPr>
                <w:sz w:val="20"/>
                <w:szCs w:val="20"/>
              </w:rPr>
              <w:t>k</w:t>
            </w:r>
            <w:r w:rsidR="00EC61A1">
              <w:rPr>
                <w:sz w:val="20"/>
                <w:szCs w:val="20"/>
              </w:rPr>
              <w:t xml:space="preserve"> </w:t>
            </w:r>
            <w:r>
              <w:rPr>
                <w:sz w:val="20"/>
                <w:szCs w:val="20"/>
              </w:rPr>
              <w:t>behaviour</w:t>
            </w:r>
            <w:r w:rsidR="00EC61A1">
              <w:rPr>
                <w:sz w:val="20"/>
                <w:szCs w:val="20"/>
              </w:rPr>
              <w:t>s</w:t>
            </w:r>
          </w:p>
        </w:tc>
      </w:tr>
      <w:tr w:rsidR="009D39AC" w14:paraId="70145183" w14:textId="77777777" w:rsidTr="009D39AC">
        <w:tc>
          <w:tcPr>
            <w:tcW w:w="4676" w:type="dxa"/>
          </w:tcPr>
          <w:p w14:paraId="3123A707" w14:textId="72D46849" w:rsidR="009D39AC" w:rsidRPr="009D39AC" w:rsidRDefault="009D39AC" w:rsidP="00A226DF">
            <w:pPr>
              <w:rPr>
                <w:b/>
                <w:bCs/>
                <w:i/>
                <w:iCs/>
                <w:sz w:val="20"/>
                <w:szCs w:val="20"/>
              </w:rPr>
            </w:pPr>
            <w:r>
              <w:rPr>
                <w:sz w:val="20"/>
                <w:szCs w:val="20"/>
              </w:rPr>
              <w:t xml:space="preserve">For given behavioural data (from surveys &amp; IBBS) and program coverage data, </w:t>
            </w:r>
            <w:r w:rsidR="00EC61A1">
              <w:rPr>
                <w:sz w:val="20"/>
                <w:szCs w:val="20"/>
              </w:rPr>
              <w:t xml:space="preserve">modelled </w:t>
            </w:r>
            <w:r>
              <w:rPr>
                <w:sz w:val="20"/>
                <w:szCs w:val="20"/>
              </w:rPr>
              <w:t xml:space="preserve">syphilis </w:t>
            </w:r>
            <w:r w:rsidR="00EC61A1">
              <w:rPr>
                <w:sz w:val="20"/>
                <w:szCs w:val="20"/>
              </w:rPr>
              <w:t xml:space="preserve">prevalence is </w:t>
            </w:r>
            <w:r>
              <w:rPr>
                <w:sz w:val="20"/>
                <w:szCs w:val="20"/>
              </w:rPr>
              <w:t>too low</w:t>
            </w:r>
            <w:r w:rsidR="00EC61A1">
              <w:rPr>
                <w:sz w:val="20"/>
                <w:szCs w:val="20"/>
              </w:rPr>
              <w:t xml:space="preserve"> (or too high( compared to data</w:t>
            </w:r>
          </w:p>
        </w:tc>
        <w:tc>
          <w:tcPr>
            <w:tcW w:w="5764" w:type="dxa"/>
          </w:tcPr>
          <w:p w14:paraId="19EC0E5C" w14:textId="1984B22A" w:rsidR="009D39AC" w:rsidRDefault="009D39AC" w:rsidP="00A226DF">
            <w:pPr>
              <w:rPr>
                <w:sz w:val="20"/>
                <w:szCs w:val="20"/>
              </w:rPr>
            </w:pPr>
            <w:r>
              <w:rPr>
                <w:sz w:val="20"/>
                <w:szCs w:val="20"/>
              </w:rPr>
              <w:t xml:space="preserve">First, consider the representativeness of the </w:t>
            </w:r>
            <w:r w:rsidR="00EC61A1">
              <w:rPr>
                <w:sz w:val="20"/>
                <w:szCs w:val="20"/>
              </w:rPr>
              <w:t xml:space="preserve">prevalence </w:t>
            </w:r>
            <w:r>
              <w:rPr>
                <w:sz w:val="20"/>
                <w:szCs w:val="20"/>
              </w:rPr>
              <w:t xml:space="preserve">data. </w:t>
            </w:r>
            <w:r w:rsidR="00EC61A1">
              <w:rPr>
                <w:sz w:val="20"/>
                <w:szCs w:val="20"/>
              </w:rPr>
              <w:t>Did the prevalence surveys you are trying to calibrate perhaps under-sample (or over-sample) higher-risk individuals, within the population group it was meant to represent?</w:t>
            </w:r>
          </w:p>
          <w:p w14:paraId="328AA75F" w14:textId="77777777" w:rsidR="00EC61A1" w:rsidRDefault="00EC61A1" w:rsidP="00A226DF">
            <w:pPr>
              <w:rPr>
                <w:sz w:val="20"/>
                <w:szCs w:val="20"/>
              </w:rPr>
            </w:pPr>
          </w:p>
          <w:p w14:paraId="3EC573FD" w14:textId="50DB2B94" w:rsidR="009D39AC" w:rsidRDefault="00EC61A1" w:rsidP="009D39AC">
            <w:pPr>
              <w:rPr>
                <w:sz w:val="20"/>
                <w:szCs w:val="20"/>
              </w:rPr>
            </w:pPr>
            <w:r>
              <w:rPr>
                <w:sz w:val="20"/>
                <w:szCs w:val="20"/>
              </w:rPr>
              <w:t xml:space="preserve">In the behavioural data used to inform the model’s behaviour parameters, were </w:t>
            </w:r>
            <w:r w:rsidR="009D39AC">
              <w:rPr>
                <w:sz w:val="20"/>
                <w:szCs w:val="20"/>
              </w:rPr>
              <w:t xml:space="preserve">risk behaviours </w:t>
            </w:r>
            <w:r>
              <w:rPr>
                <w:sz w:val="20"/>
                <w:szCs w:val="20"/>
              </w:rPr>
              <w:t xml:space="preserve">perhaps </w:t>
            </w:r>
            <w:r w:rsidR="009D39AC">
              <w:rPr>
                <w:sz w:val="20"/>
                <w:szCs w:val="20"/>
              </w:rPr>
              <w:t>under-reported</w:t>
            </w:r>
            <w:r>
              <w:rPr>
                <w:sz w:val="20"/>
                <w:szCs w:val="20"/>
              </w:rPr>
              <w:t xml:space="preserve"> and/</w:t>
            </w:r>
            <w:r w:rsidR="009D39AC">
              <w:rPr>
                <w:sz w:val="20"/>
                <w:szCs w:val="20"/>
              </w:rPr>
              <w:t xml:space="preserve">or condom usage over-reported? </w:t>
            </w:r>
          </w:p>
          <w:p w14:paraId="08B70488" w14:textId="3CCC8BDA" w:rsidR="009D39AC" w:rsidRPr="009D39AC" w:rsidRDefault="009D39AC" w:rsidP="009D39AC">
            <w:pPr>
              <w:rPr>
                <w:sz w:val="20"/>
                <w:szCs w:val="20"/>
              </w:rPr>
            </w:pPr>
            <w:r w:rsidRPr="009D39AC">
              <w:rPr>
                <w:sz w:val="20"/>
                <w:szCs w:val="20"/>
              </w:rPr>
              <w:t xml:space="preserve">If you think the contrast is not a matter of bias or under-reporting in the data, then consider </w:t>
            </w:r>
            <w:r w:rsidR="00A33F30">
              <w:rPr>
                <w:sz w:val="20"/>
                <w:szCs w:val="20"/>
              </w:rPr>
              <w:t>changing the</w:t>
            </w:r>
            <w:r w:rsidRPr="009D39AC">
              <w:rPr>
                <w:sz w:val="20"/>
                <w:szCs w:val="20"/>
              </w:rPr>
              <w:t xml:space="preserve"> sexual mixing</w:t>
            </w:r>
            <w:r w:rsidR="00A33F30">
              <w:rPr>
                <w:sz w:val="20"/>
                <w:szCs w:val="20"/>
              </w:rPr>
              <w:t xml:space="preserve"> patterns</w:t>
            </w:r>
            <w:r w:rsidRPr="009D39AC">
              <w:rPr>
                <w:sz w:val="20"/>
                <w:szCs w:val="20"/>
              </w:rPr>
              <w:t xml:space="preserve">. </w:t>
            </w:r>
          </w:p>
          <w:p w14:paraId="1007FCDB" w14:textId="0E1DF9D9" w:rsidR="009D39AC" w:rsidRPr="009D39AC" w:rsidRDefault="009D39AC" w:rsidP="009D39AC">
            <w:pPr>
              <w:pStyle w:val="ListParagraph"/>
              <w:numPr>
                <w:ilvl w:val="0"/>
                <w:numId w:val="7"/>
              </w:numPr>
              <w:ind w:left="168" w:hanging="168"/>
              <w:rPr>
                <w:sz w:val="20"/>
                <w:szCs w:val="20"/>
              </w:rPr>
            </w:pPr>
            <w:r w:rsidRPr="009D39AC">
              <w:rPr>
                <w:sz w:val="20"/>
                <w:szCs w:val="20"/>
              </w:rPr>
              <w:lastRenderedPageBreak/>
              <w:t xml:space="preserve">The 3 mixing parameters in sheet </w:t>
            </w:r>
            <w:r w:rsidRPr="009D39AC">
              <w:rPr>
                <w:b/>
                <w:bCs/>
                <w:i/>
                <w:iCs/>
                <w:sz w:val="20"/>
                <w:szCs w:val="20"/>
              </w:rPr>
              <w:t>Parameters</w:t>
            </w:r>
            <w:r w:rsidRPr="009D39AC">
              <w:rPr>
                <w:sz w:val="20"/>
                <w:szCs w:val="20"/>
              </w:rPr>
              <w:t xml:space="preserve"> (</w:t>
            </w:r>
            <w:r w:rsidR="00F22B8D">
              <w:rPr>
                <w:sz w:val="20"/>
                <w:szCs w:val="20"/>
              </w:rPr>
              <w:t>R</w:t>
            </w:r>
            <w:r w:rsidR="00F22B8D" w:rsidRPr="009D39AC">
              <w:rPr>
                <w:sz w:val="20"/>
                <w:szCs w:val="20"/>
              </w:rPr>
              <w:t xml:space="preserve">ows </w:t>
            </w:r>
            <w:r w:rsidRPr="009D39AC">
              <w:rPr>
                <w:sz w:val="20"/>
                <w:szCs w:val="20"/>
              </w:rPr>
              <w:t>39-45) have complex effects</w:t>
            </w:r>
            <w:r w:rsidR="00980665">
              <w:rPr>
                <w:sz w:val="20"/>
                <w:szCs w:val="20"/>
              </w:rPr>
              <w:t xml:space="preserve"> (see Technical Methods report, sensitivity analyses)</w:t>
            </w:r>
            <w:r w:rsidRPr="009D39AC">
              <w:rPr>
                <w:sz w:val="20"/>
                <w:szCs w:val="20"/>
              </w:rPr>
              <w:t xml:space="preserve">. </w:t>
            </w:r>
            <w:r w:rsidR="00980665">
              <w:rPr>
                <w:sz w:val="20"/>
                <w:szCs w:val="20"/>
              </w:rPr>
              <w:br/>
            </w:r>
          </w:p>
          <w:p w14:paraId="738F1B8D" w14:textId="77777777" w:rsidR="009D39AC" w:rsidRPr="009D39AC" w:rsidRDefault="009D39AC" w:rsidP="009D39AC">
            <w:pPr>
              <w:ind w:left="168" w:hanging="168"/>
              <w:rPr>
                <w:sz w:val="20"/>
                <w:szCs w:val="20"/>
              </w:rPr>
            </w:pPr>
            <w:r w:rsidRPr="009D39AC">
              <w:rPr>
                <w:sz w:val="20"/>
                <w:szCs w:val="20"/>
              </w:rPr>
              <w:t>More basically:</w:t>
            </w:r>
          </w:p>
          <w:p w14:paraId="0A7C618F" w14:textId="2F06BBFF" w:rsidR="009D39AC" w:rsidRDefault="009D39AC" w:rsidP="009D39AC">
            <w:pPr>
              <w:pStyle w:val="ListParagraph"/>
              <w:numPr>
                <w:ilvl w:val="0"/>
                <w:numId w:val="7"/>
              </w:numPr>
              <w:ind w:left="168" w:hanging="168"/>
              <w:rPr>
                <w:sz w:val="20"/>
                <w:szCs w:val="20"/>
              </w:rPr>
            </w:pPr>
            <w:r>
              <w:rPr>
                <w:sz w:val="20"/>
                <w:szCs w:val="20"/>
              </w:rPr>
              <w:t>H</w:t>
            </w:r>
            <w:r w:rsidRPr="009D39AC">
              <w:rPr>
                <w:sz w:val="20"/>
                <w:szCs w:val="20"/>
              </w:rPr>
              <w:t xml:space="preserve">igher proportions married in </w:t>
            </w:r>
            <w:r w:rsidR="00980665">
              <w:rPr>
                <w:sz w:val="20"/>
                <w:szCs w:val="20"/>
              </w:rPr>
              <w:t xml:space="preserve">any or </w:t>
            </w:r>
            <w:r w:rsidRPr="009D39AC">
              <w:rPr>
                <w:sz w:val="20"/>
                <w:szCs w:val="20"/>
              </w:rPr>
              <w:t>all groups will increase epidemic spread (</w:t>
            </w:r>
            <w:r w:rsidRPr="009D39AC">
              <w:rPr>
                <w:b/>
                <w:bCs/>
                <w:i/>
                <w:iCs/>
                <w:sz w:val="20"/>
                <w:szCs w:val="20"/>
              </w:rPr>
              <w:t>Sexual Behaviour</w:t>
            </w:r>
            <w:r w:rsidRPr="009D39AC">
              <w:rPr>
                <w:sz w:val="20"/>
                <w:szCs w:val="20"/>
              </w:rPr>
              <w:t xml:space="preserve">, </w:t>
            </w:r>
            <w:r w:rsidR="00F22B8D">
              <w:rPr>
                <w:sz w:val="20"/>
                <w:szCs w:val="20"/>
              </w:rPr>
              <w:t>R</w:t>
            </w:r>
            <w:r w:rsidR="00F22B8D" w:rsidRPr="009D39AC">
              <w:rPr>
                <w:sz w:val="20"/>
                <w:szCs w:val="20"/>
              </w:rPr>
              <w:t xml:space="preserve">ows </w:t>
            </w:r>
            <w:r w:rsidRPr="009D39AC">
              <w:rPr>
                <w:sz w:val="20"/>
                <w:szCs w:val="20"/>
              </w:rPr>
              <w:t>26-33)</w:t>
            </w:r>
            <w:r w:rsidR="00980665">
              <w:rPr>
                <w:sz w:val="20"/>
                <w:szCs w:val="20"/>
              </w:rPr>
              <w:t>.</w:t>
            </w:r>
          </w:p>
          <w:p w14:paraId="3FCB8492" w14:textId="03239B72" w:rsidR="009D39AC" w:rsidRPr="009D39AC" w:rsidRDefault="009D39AC" w:rsidP="009D39AC">
            <w:pPr>
              <w:pStyle w:val="ListParagraph"/>
              <w:numPr>
                <w:ilvl w:val="0"/>
                <w:numId w:val="7"/>
              </w:numPr>
              <w:ind w:left="168" w:hanging="168"/>
              <w:rPr>
                <w:sz w:val="20"/>
                <w:szCs w:val="20"/>
              </w:rPr>
            </w:pPr>
            <w:r w:rsidRPr="00F12AAE">
              <w:rPr>
                <w:sz w:val="20"/>
                <w:szCs w:val="20"/>
              </w:rPr>
              <w:t>Duration of Sex Work (</w:t>
            </w:r>
            <w:proofErr w:type="spellStart"/>
            <w:r w:rsidRPr="00F12AAE">
              <w:rPr>
                <w:b/>
                <w:bCs/>
                <w:i/>
                <w:iCs/>
                <w:sz w:val="20"/>
                <w:szCs w:val="20"/>
              </w:rPr>
              <w:t>SexualBehaviour</w:t>
            </w:r>
            <w:proofErr w:type="spellEnd"/>
            <w:r w:rsidRPr="00F12AAE">
              <w:rPr>
                <w:sz w:val="20"/>
                <w:szCs w:val="20"/>
              </w:rPr>
              <w:t xml:space="preserve">, </w:t>
            </w:r>
            <w:r w:rsidR="00F22B8D">
              <w:rPr>
                <w:sz w:val="20"/>
                <w:szCs w:val="20"/>
              </w:rPr>
              <w:t>R</w:t>
            </w:r>
            <w:r w:rsidR="00F22B8D" w:rsidRPr="00F12AAE">
              <w:rPr>
                <w:sz w:val="20"/>
                <w:szCs w:val="20"/>
              </w:rPr>
              <w:t>ow</w:t>
            </w:r>
            <w:r w:rsidR="00F22B8D">
              <w:rPr>
                <w:sz w:val="20"/>
                <w:szCs w:val="20"/>
              </w:rPr>
              <w:t xml:space="preserve"> </w:t>
            </w:r>
            <w:r w:rsidRPr="00F12AAE">
              <w:rPr>
                <w:sz w:val="20"/>
                <w:szCs w:val="20"/>
              </w:rPr>
              <w:t>48): A shorter duration will reduce prevalence in FSW, and increase transmission from the resulting larger (longitudinal/transitional) pool of FSW and ex-FSW, to High-risk male clients and via them, into the overall general population including low-risk women.</w:t>
            </w:r>
          </w:p>
        </w:tc>
      </w:tr>
    </w:tbl>
    <w:p w14:paraId="4AD569EB" w14:textId="77777777" w:rsidR="007C4075" w:rsidRDefault="007C4075" w:rsidP="00A226DF">
      <w:pPr>
        <w:rPr>
          <w:sz w:val="20"/>
          <w:szCs w:val="20"/>
        </w:rPr>
      </w:pPr>
    </w:p>
    <w:p w14:paraId="297E0669" w14:textId="10BBE53D" w:rsidR="007C4075" w:rsidRDefault="00145491" w:rsidP="00A226DF">
      <w:pPr>
        <w:rPr>
          <w:sz w:val="20"/>
          <w:szCs w:val="20"/>
        </w:rPr>
      </w:pPr>
      <w:r>
        <w:rPr>
          <w:sz w:val="20"/>
          <w:szCs w:val="20"/>
        </w:rPr>
        <w:t>Other parameters that users may change, but whose effects are not always straightforward, are:</w:t>
      </w:r>
    </w:p>
    <w:p w14:paraId="13561514" w14:textId="77777777" w:rsidR="00145491" w:rsidRPr="00EC61A1" w:rsidRDefault="00145491" w:rsidP="00A226DF">
      <w:pPr>
        <w:rPr>
          <w:color w:val="000000" w:themeColor="text1"/>
          <w:sz w:val="20"/>
          <w:szCs w:val="20"/>
        </w:rPr>
      </w:pPr>
    </w:p>
    <w:p w14:paraId="1A28C21A" w14:textId="0B783652" w:rsidR="00145491" w:rsidRPr="00EC61A1" w:rsidRDefault="000A1B82" w:rsidP="00F12AAE">
      <w:pPr>
        <w:pStyle w:val="ListParagraph"/>
        <w:numPr>
          <w:ilvl w:val="0"/>
          <w:numId w:val="6"/>
        </w:numPr>
        <w:rPr>
          <w:color w:val="000000" w:themeColor="text1"/>
          <w:sz w:val="20"/>
          <w:szCs w:val="20"/>
        </w:rPr>
      </w:pPr>
      <w:r w:rsidRPr="00EC61A1">
        <w:rPr>
          <w:b/>
          <w:bCs/>
          <w:color w:val="000000" w:themeColor="text1"/>
          <w:sz w:val="20"/>
          <w:szCs w:val="20"/>
        </w:rPr>
        <w:t>Initial prevalence</w:t>
      </w:r>
      <w:r w:rsidRPr="00EC61A1">
        <w:rPr>
          <w:color w:val="000000" w:themeColor="text1"/>
          <w:sz w:val="20"/>
          <w:szCs w:val="20"/>
        </w:rPr>
        <w:t xml:space="preserve"> (</w:t>
      </w:r>
      <w:r w:rsidRPr="00EC61A1">
        <w:rPr>
          <w:b/>
          <w:bCs/>
          <w:i/>
          <w:iCs/>
          <w:color w:val="000000" w:themeColor="text1"/>
          <w:sz w:val="20"/>
          <w:szCs w:val="20"/>
        </w:rPr>
        <w:t>Parameters</w:t>
      </w:r>
      <w:r w:rsidRPr="00EC61A1">
        <w:rPr>
          <w:color w:val="000000" w:themeColor="text1"/>
          <w:sz w:val="20"/>
          <w:szCs w:val="20"/>
        </w:rPr>
        <w:t xml:space="preserve">, </w:t>
      </w:r>
      <w:r w:rsidR="00F22B8D">
        <w:rPr>
          <w:color w:val="000000" w:themeColor="text1"/>
          <w:sz w:val="20"/>
          <w:szCs w:val="20"/>
        </w:rPr>
        <w:t>R</w:t>
      </w:r>
      <w:r w:rsidR="00F22B8D" w:rsidRPr="00EC61A1">
        <w:rPr>
          <w:color w:val="000000" w:themeColor="text1"/>
          <w:sz w:val="20"/>
          <w:szCs w:val="20"/>
        </w:rPr>
        <w:t xml:space="preserve">ows </w:t>
      </w:r>
      <w:r w:rsidRPr="00EC61A1">
        <w:rPr>
          <w:color w:val="000000" w:themeColor="text1"/>
          <w:sz w:val="20"/>
          <w:szCs w:val="20"/>
        </w:rPr>
        <w:t>48-54): If prevalence at 1970 for the respective groups is not set in line with their subsequent risk/exposure</w:t>
      </w:r>
      <w:r w:rsidR="00F12AAE" w:rsidRPr="00EC61A1">
        <w:rPr>
          <w:color w:val="000000" w:themeColor="text1"/>
          <w:sz w:val="20"/>
          <w:szCs w:val="20"/>
        </w:rPr>
        <w:t>, defined by the</w:t>
      </w:r>
      <w:r w:rsidRPr="00EC61A1">
        <w:rPr>
          <w:color w:val="000000" w:themeColor="text1"/>
          <w:sz w:val="20"/>
          <w:szCs w:val="20"/>
        </w:rPr>
        <w:t xml:space="preserve"> behavioural parameters, the model may produce large fluctuations in incidence and prevalence over initial </w:t>
      </w:r>
      <w:r w:rsidR="00F12AAE" w:rsidRPr="00EC61A1">
        <w:rPr>
          <w:color w:val="000000" w:themeColor="text1"/>
          <w:sz w:val="20"/>
          <w:szCs w:val="20"/>
        </w:rPr>
        <w:t>decades – which are not always realistic</w:t>
      </w:r>
      <w:r w:rsidRPr="00EC61A1">
        <w:rPr>
          <w:color w:val="000000" w:themeColor="text1"/>
          <w:sz w:val="20"/>
          <w:szCs w:val="20"/>
        </w:rPr>
        <w:t>.</w:t>
      </w:r>
      <w:r w:rsidR="00F12AAE" w:rsidRPr="00EC61A1">
        <w:rPr>
          <w:color w:val="000000" w:themeColor="text1"/>
          <w:sz w:val="20"/>
          <w:szCs w:val="20"/>
        </w:rPr>
        <w:t xml:space="preserve">  </w:t>
      </w:r>
    </w:p>
    <w:p w14:paraId="472B1939" w14:textId="77777777" w:rsidR="007C4075" w:rsidRPr="00EC61A1" w:rsidRDefault="007C4075" w:rsidP="00A226DF">
      <w:pPr>
        <w:rPr>
          <w:color w:val="000000" w:themeColor="text1"/>
          <w:sz w:val="20"/>
          <w:szCs w:val="20"/>
        </w:rPr>
      </w:pPr>
    </w:p>
    <w:p w14:paraId="7D160434" w14:textId="447C29DE" w:rsidR="004E6DEE" w:rsidRPr="00EC61A1" w:rsidRDefault="00F12AAE" w:rsidP="00951318">
      <w:pPr>
        <w:pStyle w:val="ListParagraph"/>
        <w:numPr>
          <w:ilvl w:val="0"/>
          <w:numId w:val="6"/>
        </w:numPr>
        <w:rPr>
          <w:rFonts w:cs="Times New Roman (Body CS)"/>
          <w:b/>
          <w:bCs/>
          <w:smallCaps/>
          <w:color w:val="000000" w:themeColor="text1"/>
          <w:sz w:val="20"/>
          <w:szCs w:val="20"/>
        </w:rPr>
      </w:pPr>
      <w:r w:rsidRPr="00EC61A1">
        <w:rPr>
          <w:b/>
          <w:bCs/>
          <w:color w:val="000000" w:themeColor="text1"/>
          <w:sz w:val="20"/>
          <w:szCs w:val="20"/>
        </w:rPr>
        <w:t>Proportion married among MSM</w:t>
      </w:r>
      <w:r w:rsidRPr="00EC61A1">
        <w:rPr>
          <w:color w:val="000000" w:themeColor="text1"/>
          <w:sz w:val="20"/>
          <w:szCs w:val="20"/>
        </w:rPr>
        <w:t xml:space="preserve"> (</w:t>
      </w:r>
      <w:proofErr w:type="spellStart"/>
      <w:r w:rsidRPr="00EC61A1">
        <w:rPr>
          <w:b/>
          <w:bCs/>
          <w:i/>
          <w:iCs/>
          <w:color w:val="000000" w:themeColor="text1"/>
          <w:sz w:val="20"/>
          <w:szCs w:val="20"/>
        </w:rPr>
        <w:t>SexualBehaviour</w:t>
      </w:r>
      <w:proofErr w:type="spellEnd"/>
      <w:r w:rsidRPr="00EC61A1">
        <w:rPr>
          <w:color w:val="000000" w:themeColor="text1"/>
          <w:sz w:val="20"/>
          <w:szCs w:val="20"/>
        </w:rPr>
        <w:t xml:space="preserve">, </w:t>
      </w:r>
      <w:r w:rsidR="00F22B8D">
        <w:rPr>
          <w:color w:val="000000" w:themeColor="text1"/>
          <w:sz w:val="20"/>
          <w:szCs w:val="20"/>
        </w:rPr>
        <w:t>R</w:t>
      </w:r>
      <w:r w:rsidR="00F22B8D" w:rsidRPr="00EC61A1">
        <w:rPr>
          <w:color w:val="000000" w:themeColor="text1"/>
          <w:sz w:val="20"/>
          <w:szCs w:val="20"/>
        </w:rPr>
        <w:t xml:space="preserve">ow </w:t>
      </w:r>
      <w:r w:rsidRPr="00EC61A1">
        <w:rPr>
          <w:color w:val="000000" w:themeColor="text1"/>
          <w:sz w:val="20"/>
          <w:szCs w:val="20"/>
        </w:rPr>
        <w:t>33): Higher marriage rates among MSM will slightly increase prevalence among MSM, but especially among Lower-risk women. Typically, and in the example/default calibration, with low MSM marriage rates, MSM are a quite isolated group.</w:t>
      </w:r>
    </w:p>
    <w:sectPr w:rsidR="004E6DEE" w:rsidRPr="00EC61A1" w:rsidSect="005C45A5">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15A86" w14:textId="77777777" w:rsidR="0055501C" w:rsidRDefault="0055501C" w:rsidP="00702125">
      <w:r>
        <w:separator/>
      </w:r>
    </w:p>
  </w:endnote>
  <w:endnote w:type="continuationSeparator" w:id="0">
    <w:p w14:paraId="171212CD" w14:textId="77777777" w:rsidR="0055501C" w:rsidRDefault="0055501C" w:rsidP="0070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713396"/>
      <w:docPartObj>
        <w:docPartGallery w:val="Page Numbers (Bottom of Page)"/>
        <w:docPartUnique/>
      </w:docPartObj>
    </w:sdtPr>
    <w:sdtEndPr>
      <w:rPr>
        <w:noProof/>
      </w:rPr>
    </w:sdtEndPr>
    <w:sdtContent>
      <w:p w14:paraId="509D5AEB" w14:textId="39375580" w:rsidR="00116F1F" w:rsidRDefault="00116F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0A2AD7" w14:textId="77777777" w:rsidR="00116F1F" w:rsidRDefault="00116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2FEDE" w14:textId="77777777" w:rsidR="0055501C" w:rsidRDefault="0055501C" w:rsidP="00702125">
      <w:r>
        <w:separator/>
      </w:r>
    </w:p>
  </w:footnote>
  <w:footnote w:type="continuationSeparator" w:id="0">
    <w:p w14:paraId="432BB1B2" w14:textId="77777777" w:rsidR="0055501C" w:rsidRDefault="0055501C" w:rsidP="00702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E3E93"/>
    <w:multiLevelType w:val="multilevel"/>
    <w:tmpl w:val="1CE4C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887776C"/>
    <w:multiLevelType w:val="hybridMultilevel"/>
    <w:tmpl w:val="59E2A0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106B87"/>
    <w:multiLevelType w:val="hybridMultilevel"/>
    <w:tmpl w:val="D50A59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FF6231"/>
    <w:multiLevelType w:val="hybridMultilevel"/>
    <w:tmpl w:val="9B8483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3756BE"/>
    <w:multiLevelType w:val="hybridMultilevel"/>
    <w:tmpl w:val="03540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96634D"/>
    <w:multiLevelType w:val="multilevel"/>
    <w:tmpl w:val="1CE4C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64C3400"/>
    <w:multiLevelType w:val="hybridMultilevel"/>
    <w:tmpl w:val="F05EF3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6FB01053"/>
    <w:multiLevelType w:val="hybridMultilevel"/>
    <w:tmpl w:val="C2D4D3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3"/>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43"/>
    <w:rsid w:val="00003234"/>
    <w:rsid w:val="00012BE0"/>
    <w:rsid w:val="00020794"/>
    <w:rsid w:val="0004417B"/>
    <w:rsid w:val="00052D96"/>
    <w:rsid w:val="000820D0"/>
    <w:rsid w:val="000875CB"/>
    <w:rsid w:val="00096E16"/>
    <w:rsid w:val="000A1B82"/>
    <w:rsid w:val="000C299A"/>
    <w:rsid w:val="000D4FDF"/>
    <w:rsid w:val="000D6009"/>
    <w:rsid w:val="000F086B"/>
    <w:rsid w:val="000F2802"/>
    <w:rsid w:val="001001C3"/>
    <w:rsid w:val="001071D8"/>
    <w:rsid w:val="00114646"/>
    <w:rsid w:val="0011563B"/>
    <w:rsid w:val="00116F1F"/>
    <w:rsid w:val="0012562A"/>
    <w:rsid w:val="001332A1"/>
    <w:rsid w:val="00136345"/>
    <w:rsid w:val="0014081D"/>
    <w:rsid w:val="00145491"/>
    <w:rsid w:val="00187AF5"/>
    <w:rsid w:val="00197DE7"/>
    <w:rsid w:val="001A3284"/>
    <w:rsid w:val="001B6155"/>
    <w:rsid w:val="001C4BD9"/>
    <w:rsid w:val="001C7BE8"/>
    <w:rsid w:val="001D385F"/>
    <w:rsid w:val="001E348F"/>
    <w:rsid w:val="001F3EC7"/>
    <w:rsid w:val="002023E2"/>
    <w:rsid w:val="00210FEB"/>
    <w:rsid w:val="00257356"/>
    <w:rsid w:val="00265C2B"/>
    <w:rsid w:val="002B693D"/>
    <w:rsid w:val="002C2629"/>
    <w:rsid w:val="002D4A07"/>
    <w:rsid w:val="002D76E6"/>
    <w:rsid w:val="002E2956"/>
    <w:rsid w:val="002E54E2"/>
    <w:rsid w:val="00325D03"/>
    <w:rsid w:val="00344BA5"/>
    <w:rsid w:val="003535E7"/>
    <w:rsid w:val="003539C0"/>
    <w:rsid w:val="00360B04"/>
    <w:rsid w:val="00361C97"/>
    <w:rsid w:val="0036304C"/>
    <w:rsid w:val="00364B20"/>
    <w:rsid w:val="00370964"/>
    <w:rsid w:val="0037722E"/>
    <w:rsid w:val="0037734C"/>
    <w:rsid w:val="00383623"/>
    <w:rsid w:val="0039515F"/>
    <w:rsid w:val="003A3B97"/>
    <w:rsid w:val="003A6E88"/>
    <w:rsid w:val="003B18C1"/>
    <w:rsid w:val="003B1F16"/>
    <w:rsid w:val="003B542E"/>
    <w:rsid w:val="003D2F65"/>
    <w:rsid w:val="003D3C30"/>
    <w:rsid w:val="003D5925"/>
    <w:rsid w:val="003E137A"/>
    <w:rsid w:val="003E2DD1"/>
    <w:rsid w:val="003E332A"/>
    <w:rsid w:val="003F4291"/>
    <w:rsid w:val="00404BDC"/>
    <w:rsid w:val="00404F16"/>
    <w:rsid w:val="00417F73"/>
    <w:rsid w:val="0043762E"/>
    <w:rsid w:val="00440CCF"/>
    <w:rsid w:val="00454D74"/>
    <w:rsid w:val="00457375"/>
    <w:rsid w:val="00463A2F"/>
    <w:rsid w:val="004735CC"/>
    <w:rsid w:val="00474A9A"/>
    <w:rsid w:val="004A099C"/>
    <w:rsid w:val="004C678E"/>
    <w:rsid w:val="004E6DEE"/>
    <w:rsid w:val="004F4A38"/>
    <w:rsid w:val="005100B9"/>
    <w:rsid w:val="0051510C"/>
    <w:rsid w:val="005358A9"/>
    <w:rsid w:val="0055501C"/>
    <w:rsid w:val="0055516E"/>
    <w:rsid w:val="00560D9F"/>
    <w:rsid w:val="0056796B"/>
    <w:rsid w:val="00585A67"/>
    <w:rsid w:val="005C2C71"/>
    <w:rsid w:val="005C45A5"/>
    <w:rsid w:val="005C6111"/>
    <w:rsid w:val="005C7966"/>
    <w:rsid w:val="005D6E69"/>
    <w:rsid w:val="005E1FCB"/>
    <w:rsid w:val="006138A6"/>
    <w:rsid w:val="006142F1"/>
    <w:rsid w:val="0062152E"/>
    <w:rsid w:val="006311A4"/>
    <w:rsid w:val="006467BA"/>
    <w:rsid w:val="0066480F"/>
    <w:rsid w:val="00690D83"/>
    <w:rsid w:val="0069341A"/>
    <w:rsid w:val="006937B1"/>
    <w:rsid w:val="006A0D7B"/>
    <w:rsid w:val="006D1A6F"/>
    <w:rsid w:val="006E3327"/>
    <w:rsid w:val="00702125"/>
    <w:rsid w:val="00706AFF"/>
    <w:rsid w:val="00717CB7"/>
    <w:rsid w:val="007504ED"/>
    <w:rsid w:val="007531ED"/>
    <w:rsid w:val="00753DE3"/>
    <w:rsid w:val="00761546"/>
    <w:rsid w:val="00771A92"/>
    <w:rsid w:val="00772AB1"/>
    <w:rsid w:val="0077648B"/>
    <w:rsid w:val="00792E78"/>
    <w:rsid w:val="007A112D"/>
    <w:rsid w:val="007B0552"/>
    <w:rsid w:val="007C4075"/>
    <w:rsid w:val="007C4D1D"/>
    <w:rsid w:val="00812320"/>
    <w:rsid w:val="00823821"/>
    <w:rsid w:val="008341D9"/>
    <w:rsid w:val="00843D34"/>
    <w:rsid w:val="00850421"/>
    <w:rsid w:val="008623B3"/>
    <w:rsid w:val="00872BE3"/>
    <w:rsid w:val="0087497F"/>
    <w:rsid w:val="00877DA5"/>
    <w:rsid w:val="008A2B42"/>
    <w:rsid w:val="008A6C96"/>
    <w:rsid w:val="008E15E5"/>
    <w:rsid w:val="008E490D"/>
    <w:rsid w:val="0090343F"/>
    <w:rsid w:val="009074C2"/>
    <w:rsid w:val="009136F6"/>
    <w:rsid w:val="00931FA6"/>
    <w:rsid w:val="00937594"/>
    <w:rsid w:val="009445D1"/>
    <w:rsid w:val="00951318"/>
    <w:rsid w:val="00965A0F"/>
    <w:rsid w:val="009670A8"/>
    <w:rsid w:val="00970228"/>
    <w:rsid w:val="00972650"/>
    <w:rsid w:val="00980665"/>
    <w:rsid w:val="00996EF1"/>
    <w:rsid w:val="009C3A1D"/>
    <w:rsid w:val="009D3632"/>
    <w:rsid w:val="009D39AC"/>
    <w:rsid w:val="009E5783"/>
    <w:rsid w:val="009F0954"/>
    <w:rsid w:val="00A11125"/>
    <w:rsid w:val="00A20FB8"/>
    <w:rsid w:val="00A226DF"/>
    <w:rsid w:val="00A33F30"/>
    <w:rsid w:val="00A658CF"/>
    <w:rsid w:val="00A65AD2"/>
    <w:rsid w:val="00A80DC8"/>
    <w:rsid w:val="00A92EBE"/>
    <w:rsid w:val="00AA78CE"/>
    <w:rsid w:val="00AB2080"/>
    <w:rsid w:val="00AF7D63"/>
    <w:rsid w:val="00B20C23"/>
    <w:rsid w:val="00B230E2"/>
    <w:rsid w:val="00B31C15"/>
    <w:rsid w:val="00B324F3"/>
    <w:rsid w:val="00B32AF9"/>
    <w:rsid w:val="00B362DA"/>
    <w:rsid w:val="00B41273"/>
    <w:rsid w:val="00B55BE7"/>
    <w:rsid w:val="00B607A7"/>
    <w:rsid w:val="00B64324"/>
    <w:rsid w:val="00B86DBE"/>
    <w:rsid w:val="00B97768"/>
    <w:rsid w:val="00B97835"/>
    <w:rsid w:val="00BB5A3C"/>
    <w:rsid w:val="00BC1AD9"/>
    <w:rsid w:val="00BC3B4A"/>
    <w:rsid w:val="00BE354A"/>
    <w:rsid w:val="00BF22E2"/>
    <w:rsid w:val="00BF7A1E"/>
    <w:rsid w:val="00C16602"/>
    <w:rsid w:val="00C213BB"/>
    <w:rsid w:val="00C2551A"/>
    <w:rsid w:val="00C310E7"/>
    <w:rsid w:val="00C36CE3"/>
    <w:rsid w:val="00C44B6F"/>
    <w:rsid w:val="00C64A66"/>
    <w:rsid w:val="00C66A53"/>
    <w:rsid w:val="00C80459"/>
    <w:rsid w:val="00C87BE8"/>
    <w:rsid w:val="00C941E6"/>
    <w:rsid w:val="00C9740C"/>
    <w:rsid w:val="00CA5595"/>
    <w:rsid w:val="00CC6A6B"/>
    <w:rsid w:val="00CD1256"/>
    <w:rsid w:val="00CD6C52"/>
    <w:rsid w:val="00CE0BB8"/>
    <w:rsid w:val="00CF3455"/>
    <w:rsid w:val="00D05D87"/>
    <w:rsid w:val="00D07769"/>
    <w:rsid w:val="00D309B8"/>
    <w:rsid w:val="00D32EAD"/>
    <w:rsid w:val="00D575DB"/>
    <w:rsid w:val="00D57CB7"/>
    <w:rsid w:val="00D60F3D"/>
    <w:rsid w:val="00D65BDE"/>
    <w:rsid w:val="00DC2D0F"/>
    <w:rsid w:val="00DC66DE"/>
    <w:rsid w:val="00DC7320"/>
    <w:rsid w:val="00DF1C84"/>
    <w:rsid w:val="00DF220D"/>
    <w:rsid w:val="00DF2730"/>
    <w:rsid w:val="00E073DE"/>
    <w:rsid w:val="00E27407"/>
    <w:rsid w:val="00E45A2E"/>
    <w:rsid w:val="00E62E71"/>
    <w:rsid w:val="00E65731"/>
    <w:rsid w:val="00E721B2"/>
    <w:rsid w:val="00E72A5A"/>
    <w:rsid w:val="00E72F91"/>
    <w:rsid w:val="00E74550"/>
    <w:rsid w:val="00EC61A1"/>
    <w:rsid w:val="00ED33F0"/>
    <w:rsid w:val="00ED465D"/>
    <w:rsid w:val="00EE530F"/>
    <w:rsid w:val="00F04E4C"/>
    <w:rsid w:val="00F0613C"/>
    <w:rsid w:val="00F1067C"/>
    <w:rsid w:val="00F12AAE"/>
    <w:rsid w:val="00F22B8D"/>
    <w:rsid w:val="00F23EDB"/>
    <w:rsid w:val="00F443D7"/>
    <w:rsid w:val="00F80D80"/>
    <w:rsid w:val="00F94E2A"/>
    <w:rsid w:val="00FA2845"/>
    <w:rsid w:val="00FA45AF"/>
    <w:rsid w:val="00FC19E4"/>
    <w:rsid w:val="00FC2245"/>
    <w:rsid w:val="00FD24D0"/>
    <w:rsid w:val="00FE2243"/>
    <w:rsid w:val="00FF4D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D508"/>
  <w15:chartTrackingRefBased/>
  <w15:docId w15:val="{DAE394DC-3CEF-5947-91B8-B1C10697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243"/>
    <w:rPr>
      <w:color w:val="0563C1" w:themeColor="hyperlink"/>
      <w:u w:val="single"/>
    </w:rPr>
  </w:style>
  <w:style w:type="character" w:styleId="UnresolvedMention">
    <w:name w:val="Unresolved Mention"/>
    <w:basedOn w:val="DefaultParagraphFont"/>
    <w:uiPriority w:val="99"/>
    <w:semiHidden/>
    <w:unhideWhenUsed/>
    <w:rsid w:val="00FE2243"/>
    <w:rPr>
      <w:color w:val="605E5C"/>
      <w:shd w:val="clear" w:color="auto" w:fill="E1DFDD"/>
    </w:rPr>
  </w:style>
  <w:style w:type="character" w:styleId="FollowedHyperlink">
    <w:name w:val="FollowedHyperlink"/>
    <w:basedOn w:val="DefaultParagraphFont"/>
    <w:uiPriority w:val="99"/>
    <w:semiHidden/>
    <w:unhideWhenUsed/>
    <w:rsid w:val="00702125"/>
    <w:rPr>
      <w:color w:val="954F72" w:themeColor="followedHyperlink"/>
      <w:u w:val="single"/>
    </w:rPr>
  </w:style>
  <w:style w:type="paragraph" w:styleId="ListParagraph">
    <w:name w:val="List Paragraph"/>
    <w:basedOn w:val="Normal"/>
    <w:link w:val="ListParagraphChar"/>
    <w:uiPriority w:val="34"/>
    <w:qFormat/>
    <w:rsid w:val="00702125"/>
    <w:pPr>
      <w:ind w:left="720"/>
      <w:contextualSpacing/>
    </w:pPr>
    <w:rPr>
      <w:lang w:eastAsia="en-US"/>
    </w:rPr>
  </w:style>
  <w:style w:type="character" w:customStyle="1" w:styleId="ListParagraphChar">
    <w:name w:val="List Paragraph Char"/>
    <w:link w:val="ListParagraph"/>
    <w:uiPriority w:val="34"/>
    <w:locked/>
    <w:rsid w:val="00702125"/>
    <w:rPr>
      <w:lang w:eastAsia="en-US"/>
    </w:rPr>
  </w:style>
  <w:style w:type="paragraph" w:styleId="FootnoteText">
    <w:name w:val="footnote text"/>
    <w:basedOn w:val="Normal"/>
    <w:link w:val="FootnoteTextChar"/>
    <w:uiPriority w:val="99"/>
    <w:semiHidden/>
    <w:unhideWhenUsed/>
    <w:rsid w:val="00702125"/>
    <w:rPr>
      <w:sz w:val="20"/>
      <w:szCs w:val="20"/>
      <w:lang w:eastAsia="en-US"/>
    </w:rPr>
  </w:style>
  <w:style w:type="character" w:customStyle="1" w:styleId="FootnoteTextChar">
    <w:name w:val="Footnote Text Char"/>
    <w:basedOn w:val="DefaultParagraphFont"/>
    <w:link w:val="FootnoteText"/>
    <w:uiPriority w:val="99"/>
    <w:semiHidden/>
    <w:rsid w:val="00702125"/>
    <w:rPr>
      <w:sz w:val="20"/>
      <w:szCs w:val="20"/>
      <w:lang w:eastAsia="en-US"/>
    </w:rPr>
  </w:style>
  <w:style w:type="character" w:styleId="FootnoteReference">
    <w:name w:val="footnote reference"/>
    <w:basedOn w:val="DefaultParagraphFont"/>
    <w:uiPriority w:val="99"/>
    <w:semiHidden/>
    <w:unhideWhenUsed/>
    <w:rsid w:val="00702125"/>
    <w:rPr>
      <w:vertAlign w:val="superscript"/>
    </w:rPr>
  </w:style>
  <w:style w:type="table" w:styleId="TableGrid">
    <w:name w:val="Table Grid"/>
    <w:basedOn w:val="TableNormal"/>
    <w:uiPriority w:val="39"/>
    <w:rsid w:val="0070212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30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0E2"/>
    <w:rPr>
      <w:rFonts w:ascii="Segoe UI" w:hAnsi="Segoe UI" w:cs="Segoe UI"/>
      <w:sz w:val="18"/>
      <w:szCs w:val="18"/>
    </w:rPr>
  </w:style>
  <w:style w:type="character" w:styleId="CommentReference">
    <w:name w:val="annotation reference"/>
    <w:basedOn w:val="DefaultParagraphFont"/>
    <w:uiPriority w:val="99"/>
    <w:semiHidden/>
    <w:unhideWhenUsed/>
    <w:rsid w:val="00C310E7"/>
    <w:rPr>
      <w:sz w:val="16"/>
      <w:szCs w:val="16"/>
    </w:rPr>
  </w:style>
  <w:style w:type="paragraph" w:styleId="CommentText">
    <w:name w:val="annotation text"/>
    <w:basedOn w:val="Normal"/>
    <w:link w:val="CommentTextChar"/>
    <w:uiPriority w:val="99"/>
    <w:unhideWhenUsed/>
    <w:rsid w:val="00C310E7"/>
    <w:rPr>
      <w:sz w:val="20"/>
      <w:szCs w:val="20"/>
    </w:rPr>
  </w:style>
  <w:style w:type="character" w:customStyle="1" w:styleId="CommentTextChar">
    <w:name w:val="Comment Text Char"/>
    <w:basedOn w:val="DefaultParagraphFont"/>
    <w:link w:val="CommentText"/>
    <w:uiPriority w:val="99"/>
    <w:rsid w:val="00C310E7"/>
    <w:rPr>
      <w:sz w:val="20"/>
      <w:szCs w:val="20"/>
    </w:rPr>
  </w:style>
  <w:style w:type="paragraph" w:styleId="CommentSubject">
    <w:name w:val="annotation subject"/>
    <w:basedOn w:val="CommentText"/>
    <w:next w:val="CommentText"/>
    <w:link w:val="CommentSubjectChar"/>
    <w:uiPriority w:val="99"/>
    <w:semiHidden/>
    <w:unhideWhenUsed/>
    <w:rsid w:val="00C310E7"/>
    <w:rPr>
      <w:b/>
      <w:bCs/>
    </w:rPr>
  </w:style>
  <w:style w:type="character" w:customStyle="1" w:styleId="CommentSubjectChar">
    <w:name w:val="Comment Subject Char"/>
    <w:basedOn w:val="CommentTextChar"/>
    <w:link w:val="CommentSubject"/>
    <w:uiPriority w:val="99"/>
    <w:semiHidden/>
    <w:rsid w:val="00C310E7"/>
    <w:rPr>
      <w:b/>
      <w:bCs/>
      <w:sz w:val="20"/>
      <w:szCs w:val="20"/>
    </w:rPr>
  </w:style>
  <w:style w:type="paragraph" w:styleId="Date">
    <w:name w:val="Date"/>
    <w:basedOn w:val="Normal"/>
    <w:next w:val="Normal"/>
    <w:link w:val="DateChar"/>
    <w:uiPriority w:val="99"/>
    <w:semiHidden/>
    <w:unhideWhenUsed/>
    <w:rsid w:val="00360B04"/>
  </w:style>
  <w:style w:type="character" w:customStyle="1" w:styleId="DateChar">
    <w:name w:val="Date Char"/>
    <w:basedOn w:val="DefaultParagraphFont"/>
    <w:link w:val="Date"/>
    <w:uiPriority w:val="99"/>
    <w:semiHidden/>
    <w:rsid w:val="00360B04"/>
  </w:style>
  <w:style w:type="paragraph" w:styleId="Revision">
    <w:name w:val="Revision"/>
    <w:hidden/>
    <w:uiPriority w:val="99"/>
    <w:semiHidden/>
    <w:rsid w:val="00872BE3"/>
  </w:style>
  <w:style w:type="paragraph" w:styleId="Header">
    <w:name w:val="header"/>
    <w:basedOn w:val="Normal"/>
    <w:link w:val="HeaderChar"/>
    <w:uiPriority w:val="99"/>
    <w:unhideWhenUsed/>
    <w:rsid w:val="001C7BE8"/>
    <w:pPr>
      <w:tabs>
        <w:tab w:val="center" w:pos="4513"/>
        <w:tab w:val="right" w:pos="9026"/>
      </w:tabs>
    </w:pPr>
  </w:style>
  <w:style w:type="character" w:customStyle="1" w:styleId="HeaderChar">
    <w:name w:val="Header Char"/>
    <w:basedOn w:val="DefaultParagraphFont"/>
    <w:link w:val="Header"/>
    <w:uiPriority w:val="99"/>
    <w:rsid w:val="001C7BE8"/>
  </w:style>
  <w:style w:type="paragraph" w:styleId="Footer">
    <w:name w:val="footer"/>
    <w:basedOn w:val="Normal"/>
    <w:link w:val="FooterChar"/>
    <w:uiPriority w:val="99"/>
    <w:unhideWhenUsed/>
    <w:rsid w:val="001C7BE8"/>
    <w:pPr>
      <w:tabs>
        <w:tab w:val="center" w:pos="4513"/>
        <w:tab w:val="right" w:pos="9026"/>
      </w:tabs>
    </w:pPr>
  </w:style>
  <w:style w:type="character" w:customStyle="1" w:styleId="FooterChar">
    <w:name w:val="Footer Char"/>
    <w:basedOn w:val="DefaultParagraphFont"/>
    <w:link w:val="Footer"/>
    <w:uiPriority w:val="99"/>
    <w:rsid w:val="001C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71228">
      <w:bodyDiv w:val="1"/>
      <w:marLeft w:val="0"/>
      <w:marRight w:val="0"/>
      <w:marTop w:val="0"/>
      <w:marBottom w:val="0"/>
      <w:divBdr>
        <w:top w:val="none" w:sz="0" w:space="0" w:color="auto"/>
        <w:left w:val="none" w:sz="0" w:space="0" w:color="auto"/>
        <w:bottom w:val="none" w:sz="0" w:space="0" w:color="auto"/>
        <w:right w:val="none" w:sz="0" w:space="0" w:color="auto"/>
      </w:divBdr>
    </w:div>
    <w:div w:id="608589430">
      <w:bodyDiv w:val="1"/>
      <w:marLeft w:val="0"/>
      <w:marRight w:val="0"/>
      <w:marTop w:val="0"/>
      <w:marBottom w:val="0"/>
      <w:divBdr>
        <w:top w:val="none" w:sz="0" w:space="0" w:color="auto"/>
        <w:left w:val="none" w:sz="0" w:space="0" w:color="auto"/>
        <w:bottom w:val="none" w:sz="0" w:space="0" w:color="auto"/>
        <w:right w:val="none" w:sz="0" w:space="0" w:color="auto"/>
      </w:divBdr>
      <w:divsChild>
        <w:div w:id="1290552425">
          <w:marLeft w:val="547"/>
          <w:marRight w:val="0"/>
          <w:marTop w:val="86"/>
          <w:marBottom w:val="0"/>
          <w:divBdr>
            <w:top w:val="none" w:sz="0" w:space="0" w:color="auto"/>
            <w:left w:val="none" w:sz="0" w:space="0" w:color="auto"/>
            <w:bottom w:val="none" w:sz="0" w:space="0" w:color="auto"/>
            <w:right w:val="none" w:sz="0" w:space="0" w:color="auto"/>
          </w:divBdr>
        </w:div>
        <w:div w:id="15427588">
          <w:marLeft w:val="547"/>
          <w:marRight w:val="0"/>
          <w:marTop w:val="86"/>
          <w:marBottom w:val="0"/>
          <w:divBdr>
            <w:top w:val="none" w:sz="0" w:space="0" w:color="auto"/>
            <w:left w:val="none" w:sz="0" w:space="0" w:color="auto"/>
            <w:bottom w:val="none" w:sz="0" w:space="0" w:color="auto"/>
            <w:right w:val="none" w:sz="0" w:space="0" w:color="auto"/>
          </w:divBdr>
        </w:div>
        <w:div w:id="191236308">
          <w:marLeft w:val="547"/>
          <w:marRight w:val="0"/>
          <w:marTop w:val="86"/>
          <w:marBottom w:val="0"/>
          <w:divBdr>
            <w:top w:val="none" w:sz="0" w:space="0" w:color="auto"/>
            <w:left w:val="none" w:sz="0" w:space="0" w:color="auto"/>
            <w:bottom w:val="none" w:sz="0" w:space="0" w:color="auto"/>
            <w:right w:val="none" w:sz="0" w:space="0" w:color="auto"/>
          </w:divBdr>
        </w:div>
        <w:div w:id="1989240003">
          <w:marLeft w:val="547"/>
          <w:marRight w:val="0"/>
          <w:marTop w:val="86"/>
          <w:marBottom w:val="0"/>
          <w:divBdr>
            <w:top w:val="none" w:sz="0" w:space="0" w:color="auto"/>
            <w:left w:val="none" w:sz="0" w:space="0" w:color="auto"/>
            <w:bottom w:val="none" w:sz="0" w:space="0" w:color="auto"/>
            <w:right w:val="none" w:sz="0" w:space="0" w:color="auto"/>
          </w:divBdr>
        </w:div>
        <w:div w:id="2056729940">
          <w:marLeft w:val="547"/>
          <w:marRight w:val="0"/>
          <w:marTop w:val="86"/>
          <w:marBottom w:val="0"/>
          <w:divBdr>
            <w:top w:val="none" w:sz="0" w:space="0" w:color="auto"/>
            <w:left w:val="none" w:sz="0" w:space="0" w:color="auto"/>
            <w:bottom w:val="none" w:sz="0" w:space="0" w:color="auto"/>
            <w:right w:val="none" w:sz="0" w:space="0" w:color="auto"/>
          </w:divBdr>
        </w:div>
        <w:div w:id="1451432846">
          <w:marLeft w:val="1166"/>
          <w:marRight w:val="0"/>
          <w:marTop w:val="86"/>
          <w:marBottom w:val="0"/>
          <w:divBdr>
            <w:top w:val="none" w:sz="0" w:space="0" w:color="auto"/>
            <w:left w:val="none" w:sz="0" w:space="0" w:color="auto"/>
            <w:bottom w:val="none" w:sz="0" w:space="0" w:color="auto"/>
            <w:right w:val="none" w:sz="0" w:space="0" w:color="auto"/>
          </w:divBdr>
        </w:div>
        <w:div w:id="1768885559">
          <w:marLeft w:val="1166"/>
          <w:marRight w:val="0"/>
          <w:marTop w:val="86"/>
          <w:marBottom w:val="0"/>
          <w:divBdr>
            <w:top w:val="none" w:sz="0" w:space="0" w:color="auto"/>
            <w:left w:val="none" w:sz="0" w:space="0" w:color="auto"/>
            <w:bottom w:val="none" w:sz="0" w:space="0" w:color="auto"/>
            <w:right w:val="none" w:sz="0" w:space="0" w:color="auto"/>
          </w:divBdr>
        </w:div>
        <w:div w:id="83385810">
          <w:marLeft w:val="1166"/>
          <w:marRight w:val="0"/>
          <w:marTop w:val="86"/>
          <w:marBottom w:val="0"/>
          <w:divBdr>
            <w:top w:val="none" w:sz="0" w:space="0" w:color="auto"/>
            <w:left w:val="none" w:sz="0" w:space="0" w:color="auto"/>
            <w:bottom w:val="none" w:sz="0" w:space="0" w:color="auto"/>
            <w:right w:val="none" w:sz="0" w:space="0" w:color="auto"/>
          </w:divBdr>
        </w:div>
        <w:div w:id="2041739984">
          <w:marLeft w:val="547"/>
          <w:marRight w:val="0"/>
          <w:marTop w:val="86"/>
          <w:marBottom w:val="0"/>
          <w:divBdr>
            <w:top w:val="none" w:sz="0" w:space="0" w:color="auto"/>
            <w:left w:val="none" w:sz="0" w:space="0" w:color="auto"/>
            <w:bottom w:val="none" w:sz="0" w:space="0" w:color="auto"/>
            <w:right w:val="none" w:sz="0" w:space="0" w:color="auto"/>
          </w:divBdr>
        </w:div>
        <w:div w:id="460881278">
          <w:marLeft w:val="1166"/>
          <w:marRight w:val="0"/>
          <w:marTop w:val="86"/>
          <w:marBottom w:val="0"/>
          <w:divBdr>
            <w:top w:val="none" w:sz="0" w:space="0" w:color="auto"/>
            <w:left w:val="none" w:sz="0" w:space="0" w:color="auto"/>
            <w:bottom w:val="none" w:sz="0" w:space="0" w:color="auto"/>
            <w:right w:val="none" w:sz="0" w:space="0" w:color="auto"/>
          </w:divBdr>
        </w:div>
        <w:div w:id="1290286962">
          <w:marLeft w:val="547"/>
          <w:marRight w:val="0"/>
          <w:marTop w:val="86"/>
          <w:marBottom w:val="0"/>
          <w:divBdr>
            <w:top w:val="none" w:sz="0" w:space="0" w:color="auto"/>
            <w:left w:val="none" w:sz="0" w:space="0" w:color="auto"/>
            <w:bottom w:val="none" w:sz="0" w:space="0" w:color="auto"/>
            <w:right w:val="none" w:sz="0" w:space="0" w:color="auto"/>
          </w:divBdr>
        </w:div>
      </w:divsChild>
    </w:div>
    <w:div w:id="740903255">
      <w:bodyDiv w:val="1"/>
      <w:marLeft w:val="0"/>
      <w:marRight w:val="0"/>
      <w:marTop w:val="0"/>
      <w:marBottom w:val="0"/>
      <w:divBdr>
        <w:top w:val="none" w:sz="0" w:space="0" w:color="auto"/>
        <w:left w:val="none" w:sz="0" w:space="0" w:color="auto"/>
        <w:bottom w:val="none" w:sz="0" w:space="0" w:color="auto"/>
        <w:right w:val="none" w:sz="0" w:space="0" w:color="auto"/>
      </w:divBdr>
      <w:divsChild>
        <w:div w:id="1569002260">
          <w:marLeft w:val="547"/>
          <w:marRight w:val="0"/>
          <w:marTop w:val="77"/>
          <w:marBottom w:val="0"/>
          <w:divBdr>
            <w:top w:val="none" w:sz="0" w:space="0" w:color="auto"/>
            <w:left w:val="none" w:sz="0" w:space="0" w:color="auto"/>
            <w:bottom w:val="none" w:sz="0" w:space="0" w:color="auto"/>
            <w:right w:val="none" w:sz="0" w:space="0" w:color="auto"/>
          </w:divBdr>
        </w:div>
        <w:div w:id="2113741562">
          <w:marLeft w:val="547"/>
          <w:marRight w:val="0"/>
          <w:marTop w:val="77"/>
          <w:marBottom w:val="0"/>
          <w:divBdr>
            <w:top w:val="none" w:sz="0" w:space="0" w:color="auto"/>
            <w:left w:val="none" w:sz="0" w:space="0" w:color="auto"/>
            <w:bottom w:val="none" w:sz="0" w:space="0" w:color="auto"/>
            <w:right w:val="none" w:sz="0" w:space="0" w:color="auto"/>
          </w:divBdr>
        </w:div>
        <w:div w:id="1403209837">
          <w:marLeft w:val="547"/>
          <w:marRight w:val="0"/>
          <w:marTop w:val="77"/>
          <w:marBottom w:val="0"/>
          <w:divBdr>
            <w:top w:val="none" w:sz="0" w:space="0" w:color="auto"/>
            <w:left w:val="none" w:sz="0" w:space="0" w:color="auto"/>
            <w:bottom w:val="none" w:sz="0" w:space="0" w:color="auto"/>
            <w:right w:val="none" w:sz="0" w:space="0" w:color="auto"/>
          </w:divBdr>
        </w:div>
      </w:divsChild>
    </w:div>
    <w:div w:id="980422688">
      <w:bodyDiv w:val="1"/>
      <w:marLeft w:val="0"/>
      <w:marRight w:val="0"/>
      <w:marTop w:val="0"/>
      <w:marBottom w:val="0"/>
      <w:divBdr>
        <w:top w:val="none" w:sz="0" w:space="0" w:color="auto"/>
        <w:left w:val="none" w:sz="0" w:space="0" w:color="auto"/>
        <w:bottom w:val="none" w:sz="0" w:space="0" w:color="auto"/>
        <w:right w:val="none" w:sz="0" w:space="0" w:color="auto"/>
      </w:divBdr>
      <w:divsChild>
        <w:div w:id="1167982720">
          <w:marLeft w:val="547"/>
          <w:marRight w:val="0"/>
          <w:marTop w:val="0"/>
          <w:marBottom w:val="0"/>
          <w:divBdr>
            <w:top w:val="none" w:sz="0" w:space="0" w:color="auto"/>
            <w:left w:val="none" w:sz="0" w:space="0" w:color="auto"/>
            <w:bottom w:val="none" w:sz="0" w:space="0" w:color="auto"/>
            <w:right w:val="none" w:sz="0" w:space="0" w:color="auto"/>
          </w:divBdr>
        </w:div>
        <w:div w:id="531115187">
          <w:marLeft w:val="547"/>
          <w:marRight w:val="0"/>
          <w:marTop w:val="0"/>
          <w:marBottom w:val="0"/>
          <w:divBdr>
            <w:top w:val="none" w:sz="0" w:space="0" w:color="auto"/>
            <w:left w:val="none" w:sz="0" w:space="0" w:color="auto"/>
            <w:bottom w:val="none" w:sz="0" w:space="0" w:color="auto"/>
            <w:right w:val="none" w:sz="0" w:space="0" w:color="auto"/>
          </w:divBdr>
        </w:div>
        <w:div w:id="1539968731">
          <w:marLeft w:val="1166"/>
          <w:marRight w:val="0"/>
          <w:marTop w:val="0"/>
          <w:marBottom w:val="0"/>
          <w:divBdr>
            <w:top w:val="none" w:sz="0" w:space="0" w:color="auto"/>
            <w:left w:val="none" w:sz="0" w:space="0" w:color="auto"/>
            <w:bottom w:val="none" w:sz="0" w:space="0" w:color="auto"/>
            <w:right w:val="none" w:sz="0" w:space="0" w:color="auto"/>
          </w:divBdr>
        </w:div>
        <w:div w:id="1081102749">
          <w:marLeft w:val="1166"/>
          <w:marRight w:val="0"/>
          <w:marTop w:val="0"/>
          <w:marBottom w:val="0"/>
          <w:divBdr>
            <w:top w:val="none" w:sz="0" w:space="0" w:color="auto"/>
            <w:left w:val="none" w:sz="0" w:space="0" w:color="auto"/>
            <w:bottom w:val="none" w:sz="0" w:space="0" w:color="auto"/>
            <w:right w:val="none" w:sz="0" w:space="0" w:color="auto"/>
          </w:divBdr>
        </w:div>
        <w:div w:id="1159423973">
          <w:marLeft w:val="1166"/>
          <w:marRight w:val="0"/>
          <w:marTop w:val="0"/>
          <w:marBottom w:val="0"/>
          <w:divBdr>
            <w:top w:val="none" w:sz="0" w:space="0" w:color="auto"/>
            <w:left w:val="none" w:sz="0" w:space="0" w:color="auto"/>
            <w:bottom w:val="none" w:sz="0" w:space="0" w:color="auto"/>
            <w:right w:val="none" w:sz="0" w:space="0" w:color="auto"/>
          </w:divBdr>
        </w:div>
        <w:div w:id="95635093">
          <w:marLeft w:val="1166"/>
          <w:marRight w:val="0"/>
          <w:marTop w:val="0"/>
          <w:marBottom w:val="0"/>
          <w:divBdr>
            <w:top w:val="none" w:sz="0" w:space="0" w:color="auto"/>
            <w:left w:val="none" w:sz="0" w:space="0" w:color="auto"/>
            <w:bottom w:val="none" w:sz="0" w:space="0" w:color="auto"/>
            <w:right w:val="none" w:sz="0" w:space="0" w:color="auto"/>
          </w:divBdr>
        </w:div>
        <w:div w:id="348945712">
          <w:marLeft w:val="1166"/>
          <w:marRight w:val="0"/>
          <w:marTop w:val="0"/>
          <w:marBottom w:val="0"/>
          <w:divBdr>
            <w:top w:val="none" w:sz="0" w:space="0" w:color="auto"/>
            <w:left w:val="none" w:sz="0" w:space="0" w:color="auto"/>
            <w:bottom w:val="none" w:sz="0" w:space="0" w:color="auto"/>
            <w:right w:val="none" w:sz="0" w:space="0" w:color="auto"/>
          </w:divBdr>
        </w:div>
        <w:div w:id="368457062">
          <w:marLeft w:val="1166"/>
          <w:marRight w:val="0"/>
          <w:marTop w:val="0"/>
          <w:marBottom w:val="0"/>
          <w:divBdr>
            <w:top w:val="none" w:sz="0" w:space="0" w:color="auto"/>
            <w:left w:val="none" w:sz="0" w:space="0" w:color="auto"/>
            <w:bottom w:val="none" w:sz="0" w:space="0" w:color="auto"/>
            <w:right w:val="none" w:sz="0" w:space="0" w:color="auto"/>
          </w:divBdr>
        </w:div>
        <w:div w:id="1778409844">
          <w:marLeft w:val="547"/>
          <w:marRight w:val="0"/>
          <w:marTop w:val="0"/>
          <w:marBottom w:val="0"/>
          <w:divBdr>
            <w:top w:val="none" w:sz="0" w:space="0" w:color="auto"/>
            <w:left w:val="none" w:sz="0" w:space="0" w:color="auto"/>
            <w:bottom w:val="none" w:sz="0" w:space="0" w:color="auto"/>
            <w:right w:val="none" w:sz="0" w:space="0" w:color="auto"/>
          </w:divBdr>
        </w:div>
        <w:div w:id="1209415124">
          <w:marLeft w:val="1166"/>
          <w:marRight w:val="0"/>
          <w:marTop w:val="0"/>
          <w:marBottom w:val="0"/>
          <w:divBdr>
            <w:top w:val="none" w:sz="0" w:space="0" w:color="auto"/>
            <w:left w:val="none" w:sz="0" w:space="0" w:color="auto"/>
            <w:bottom w:val="none" w:sz="0" w:space="0" w:color="auto"/>
            <w:right w:val="none" w:sz="0" w:space="0" w:color="auto"/>
          </w:divBdr>
        </w:div>
        <w:div w:id="1500198177">
          <w:marLeft w:val="1166"/>
          <w:marRight w:val="0"/>
          <w:marTop w:val="0"/>
          <w:marBottom w:val="0"/>
          <w:divBdr>
            <w:top w:val="none" w:sz="0" w:space="0" w:color="auto"/>
            <w:left w:val="none" w:sz="0" w:space="0" w:color="auto"/>
            <w:bottom w:val="none" w:sz="0" w:space="0" w:color="auto"/>
            <w:right w:val="none" w:sz="0" w:space="0" w:color="auto"/>
          </w:divBdr>
        </w:div>
        <w:div w:id="1002857079">
          <w:marLeft w:val="1166"/>
          <w:marRight w:val="0"/>
          <w:marTop w:val="0"/>
          <w:marBottom w:val="0"/>
          <w:divBdr>
            <w:top w:val="none" w:sz="0" w:space="0" w:color="auto"/>
            <w:left w:val="none" w:sz="0" w:space="0" w:color="auto"/>
            <w:bottom w:val="none" w:sz="0" w:space="0" w:color="auto"/>
            <w:right w:val="none" w:sz="0" w:space="0" w:color="auto"/>
          </w:divBdr>
        </w:div>
        <w:div w:id="715662413">
          <w:marLeft w:val="547"/>
          <w:marRight w:val="0"/>
          <w:marTop w:val="0"/>
          <w:marBottom w:val="0"/>
          <w:divBdr>
            <w:top w:val="none" w:sz="0" w:space="0" w:color="auto"/>
            <w:left w:val="none" w:sz="0" w:space="0" w:color="auto"/>
            <w:bottom w:val="none" w:sz="0" w:space="0" w:color="auto"/>
            <w:right w:val="none" w:sz="0" w:space="0" w:color="auto"/>
          </w:divBdr>
        </w:div>
        <w:div w:id="2027712388">
          <w:marLeft w:val="1166"/>
          <w:marRight w:val="0"/>
          <w:marTop w:val="0"/>
          <w:marBottom w:val="0"/>
          <w:divBdr>
            <w:top w:val="none" w:sz="0" w:space="0" w:color="auto"/>
            <w:left w:val="none" w:sz="0" w:space="0" w:color="auto"/>
            <w:bottom w:val="none" w:sz="0" w:space="0" w:color="auto"/>
            <w:right w:val="none" w:sz="0" w:space="0" w:color="auto"/>
          </w:divBdr>
        </w:div>
        <w:div w:id="284164234">
          <w:marLeft w:val="547"/>
          <w:marRight w:val="0"/>
          <w:marTop w:val="0"/>
          <w:marBottom w:val="0"/>
          <w:divBdr>
            <w:top w:val="none" w:sz="0" w:space="0" w:color="auto"/>
            <w:left w:val="none" w:sz="0" w:space="0" w:color="auto"/>
            <w:bottom w:val="none" w:sz="0" w:space="0" w:color="auto"/>
            <w:right w:val="none" w:sz="0" w:space="0" w:color="auto"/>
          </w:divBdr>
        </w:div>
        <w:div w:id="1476946279">
          <w:marLeft w:val="547"/>
          <w:marRight w:val="0"/>
          <w:marTop w:val="0"/>
          <w:marBottom w:val="0"/>
          <w:divBdr>
            <w:top w:val="none" w:sz="0" w:space="0" w:color="auto"/>
            <w:left w:val="none" w:sz="0" w:space="0" w:color="auto"/>
            <w:bottom w:val="none" w:sz="0" w:space="0" w:color="auto"/>
            <w:right w:val="none" w:sz="0" w:space="0" w:color="auto"/>
          </w:divBdr>
        </w:div>
      </w:divsChild>
    </w:div>
    <w:div w:id="1029261592">
      <w:bodyDiv w:val="1"/>
      <w:marLeft w:val="0"/>
      <w:marRight w:val="0"/>
      <w:marTop w:val="0"/>
      <w:marBottom w:val="0"/>
      <w:divBdr>
        <w:top w:val="none" w:sz="0" w:space="0" w:color="auto"/>
        <w:left w:val="none" w:sz="0" w:space="0" w:color="auto"/>
        <w:bottom w:val="none" w:sz="0" w:space="0" w:color="auto"/>
        <w:right w:val="none" w:sz="0" w:space="0" w:color="auto"/>
      </w:divBdr>
      <w:divsChild>
        <w:div w:id="781455515">
          <w:marLeft w:val="547"/>
          <w:marRight w:val="0"/>
          <w:marTop w:val="77"/>
          <w:marBottom w:val="0"/>
          <w:divBdr>
            <w:top w:val="none" w:sz="0" w:space="0" w:color="auto"/>
            <w:left w:val="none" w:sz="0" w:space="0" w:color="auto"/>
            <w:bottom w:val="none" w:sz="0" w:space="0" w:color="auto"/>
            <w:right w:val="none" w:sz="0" w:space="0" w:color="auto"/>
          </w:divBdr>
        </w:div>
        <w:div w:id="1580290478">
          <w:marLeft w:val="547"/>
          <w:marRight w:val="0"/>
          <w:marTop w:val="77"/>
          <w:marBottom w:val="0"/>
          <w:divBdr>
            <w:top w:val="none" w:sz="0" w:space="0" w:color="auto"/>
            <w:left w:val="none" w:sz="0" w:space="0" w:color="auto"/>
            <w:bottom w:val="none" w:sz="0" w:space="0" w:color="auto"/>
            <w:right w:val="none" w:sz="0" w:space="0" w:color="auto"/>
          </w:divBdr>
        </w:div>
        <w:div w:id="1826430989">
          <w:marLeft w:val="547"/>
          <w:marRight w:val="0"/>
          <w:marTop w:val="77"/>
          <w:marBottom w:val="0"/>
          <w:divBdr>
            <w:top w:val="none" w:sz="0" w:space="0" w:color="auto"/>
            <w:left w:val="none" w:sz="0" w:space="0" w:color="auto"/>
            <w:bottom w:val="none" w:sz="0" w:space="0" w:color="auto"/>
            <w:right w:val="none" w:sz="0" w:space="0" w:color="auto"/>
          </w:divBdr>
        </w:div>
        <w:div w:id="1875457123">
          <w:marLeft w:val="1166"/>
          <w:marRight w:val="0"/>
          <w:marTop w:val="77"/>
          <w:marBottom w:val="0"/>
          <w:divBdr>
            <w:top w:val="none" w:sz="0" w:space="0" w:color="auto"/>
            <w:left w:val="none" w:sz="0" w:space="0" w:color="auto"/>
            <w:bottom w:val="none" w:sz="0" w:space="0" w:color="auto"/>
            <w:right w:val="none" w:sz="0" w:space="0" w:color="auto"/>
          </w:divBdr>
        </w:div>
        <w:div w:id="1660571873">
          <w:marLeft w:val="547"/>
          <w:marRight w:val="0"/>
          <w:marTop w:val="77"/>
          <w:marBottom w:val="0"/>
          <w:divBdr>
            <w:top w:val="none" w:sz="0" w:space="0" w:color="auto"/>
            <w:left w:val="none" w:sz="0" w:space="0" w:color="auto"/>
            <w:bottom w:val="none" w:sz="0" w:space="0" w:color="auto"/>
            <w:right w:val="none" w:sz="0" w:space="0" w:color="auto"/>
          </w:divBdr>
        </w:div>
        <w:div w:id="1325277651">
          <w:marLeft w:val="547"/>
          <w:marRight w:val="0"/>
          <w:marTop w:val="77"/>
          <w:marBottom w:val="0"/>
          <w:divBdr>
            <w:top w:val="none" w:sz="0" w:space="0" w:color="auto"/>
            <w:left w:val="none" w:sz="0" w:space="0" w:color="auto"/>
            <w:bottom w:val="none" w:sz="0" w:space="0" w:color="auto"/>
            <w:right w:val="none" w:sz="0" w:space="0" w:color="auto"/>
          </w:divBdr>
        </w:div>
        <w:div w:id="1409496790">
          <w:marLeft w:val="547"/>
          <w:marRight w:val="0"/>
          <w:marTop w:val="77"/>
          <w:marBottom w:val="0"/>
          <w:divBdr>
            <w:top w:val="none" w:sz="0" w:space="0" w:color="auto"/>
            <w:left w:val="none" w:sz="0" w:space="0" w:color="auto"/>
            <w:bottom w:val="none" w:sz="0" w:space="0" w:color="auto"/>
            <w:right w:val="none" w:sz="0" w:space="0" w:color="auto"/>
          </w:divBdr>
        </w:div>
      </w:divsChild>
    </w:div>
    <w:div w:id="1336423649">
      <w:bodyDiv w:val="1"/>
      <w:marLeft w:val="0"/>
      <w:marRight w:val="0"/>
      <w:marTop w:val="0"/>
      <w:marBottom w:val="0"/>
      <w:divBdr>
        <w:top w:val="none" w:sz="0" w:space="0" w:color="auto"/>
        <w:left w:val="none" w:sz="0" w:space="0" w:color="auto"/>
        <w:bottom w:val="none" w:sz="0" w:space="0" w:color="auto"/>
        <w:right w:val="none" w:sz="0" w:space="0" w:color="auto"/>
      </w:divBdr>
      <w:divsChild>
        <w:div w:id="1347246236">
          <w:marLeft w:val="547"/>
          <w:marRight w:val="0"/>
          <w:marTop w:val="82"/>
          <w:marBottom w:val="0"/>
          <w:divBdr>
            <w:top w:val="none" w:sz="0" w:space="0" w:color="auto"/>
            <w:left w:val="none" w:sz="0" w:space="0" w:color="auto"/>
            <w:bottom w:val="none" w:sz="0" w:space="0" w:color="auto"/>
            <w:right w:val="none" w:sz="0" w:space="0" w:color="auto"/>
          </w:divBdr>
        </w:div>
        <w:div w:id="264927326">
          <w:marLeft w:val="547"/>
          <w:marRight w:val="0"/>
          <w:marTop w:val="82"/>
          <w:marBottom w:val="0"/>
          <w:divBdr>
            <w:top w:val="none" w:sz="0" w:space="0" w:color="auto"/>
            <w:left w:val="none" w:sz="0" w:space="0" w:color="auto"/>
            <w:bottom w:val="none" w:sz="0" w:space="0" w:color="auto"/>
            <w:right w:val="none" w:sz="0" w:space="0" w:color="auto"/>
          </w:divBdr>
        </w:div>
        <w:div w:id="1435051020">
          <w:marLeft w:val="547"/>
          <w:marRight w:val="0"/>
          <w:marTop w:val="82"/>
          <w:marBottom w:val="0"/>
          <w:divBdr>
            <w:top w:val="none" w:sz="0" w:space="0" w:color="auto"/>
            <w:left w:val="none" w:sz="0" w:space="0" w:color="auto"/>
            <w:bottom w:val="none" w:sz="0" w:space="0" w:color="auto"/>
            <w:right w:val="none" w:sz="0" w:space="0" w:color="auto"/>
          </w:divBdr>
        </w:div>
        <w:div w:id="1593246889">
          <w:marLeft w:val="547"/>
          <w:marRight w:val="0"/>
          <w:marTop w:val="82"/>
          <w:marBottom w:val="0"/>
          <w:divBdr>
            <w:top w:val="none" w:sz="0" w:space="0" w:color="auto"/>
            <w:left w:val="none" w:sz="0" w:space="0" w:color="auto"/>
            <w:bottom w:val="none" w:sz="0" w:space="0" w:color="auto"/>
            <w:right w:val="none" w:sz="0" w:space="0" w:color="auto"/>
          </w:divBdr>
        </w:div>
      </w:divsChild>
    </w:div>
    <w:div w:id="1458329367">
      <w:bodyDiv w:val="1"/>
      <w:marLeft w:val="0"/>
      <w:marRight w:val="0"/>
      <w:marTop w:val="0"/>
      <w:marBottom w:val="0"/>
      <w:divBdr>
        <w:top w:val="none" w:sz="0" w:space="0" w:color="auto"/>
        <w:left w:val="none" w:sz="0" w:space="0" w:color="auto"/>
        <w:bottom w:val="none" w:sz="0" w:space="0" w:color="auto"/>
        <w:right w:val="none" w:sz="0" w:space="0" w:color="auto"/>
      </w:divBdr>
      <w:divsChild>
        <w:div w:id="2069261915">
          <w:marLeft w:val="547"/>
          <w:marRight w:val="0"/>
          <w:marTop w:val="0"/>
          <w:marBottom w:val="0"/>
          <w:divBdr>
            <w:top w:val="none" w:sz="0" w:space="0" w:color="auto"/>
            <w:left w:val="none" w:sz="0" w:space="0" w:color="auto"/>
            <w:bottom w:val="none" w:sz="0" w:space="0" w:color="auto"/>
            <w:right w:val="none" w:sz="0" w:space="0" w:color="auto"/>
          </w:divBdr>
        </w:div>
        <w:div w:id="1304891530">
          <w:marLeft w:val="547"/>
          <w:marRight w:val="0"/>
          <w:marTop w:val="0"/>
          <w:marBottom w:val="0"/>
          <w:divBdr>
            <w:top w:val="none" w:sz="0" w:space="0" w:color="auto"/>
            <w:left w:val="none" w:sz="0" w:space="0" w:color="auto"/>
            <w:bottom w:val="none" w:sz="0" w:space="0" w:color="auto"/>
            <w:right w:val="none" w:sz="0" w:space="0" w:color="auto"/>
          </w:divBdr>
        </w:div>
        <w:div w:id="1471707557">
          <w:marLeft w:val="547"/>
          <w:marRight w:val="0"/>
          <w:marTop w:val="0"/>
          <w:marBottom w:val="0"/>
          <w:divBdr>
            <w:top w:val="none" w:sz="0" w:space="0" w:color="auto"/>
            <w:left w:val="none" w:sz="0" w:space="0" w:color="auto"/>
            <w:bottom w:val="none" w:sz="0" w:space="0" w:color="auto"/>
            <w:right w:val="none" w:sz="0" w:space="0" w:color="auto"/>
          </w:divBdr>
        </w:div>
        <w:div w:id="1713965462">
          <w:marLeft w:val="547"/>
          <w:marRight w:val="0"/>
          <w:marTop w:val="0"/>
          <w:marBottom w:val="0"/>
          <w:divBdr>
            <w:top w:val="none" w:sz="0" w:space="0" w:color="auto"/>
            <w:left w:val="none" w:sz="0" w:space="0" w:color="auto"/>
            <w:bottom w:val="none" w:sz="0" w:space="0" w:color="auto"/>
            <w:right w:val="none" w:sz="0" w:space="0" w:color="auto"/>
          </w:divBdr>
        </w:div>
        <w:div w:id="266817068">
          <w:marLeft w:val="1166"/>
          <w:marRight w:val="0"/>
          <w:marTop w:val="0"/>
          <w:marBottom w:val="0"/>
          <w:divBdr>
            <w:top w:val="none" w:sz="0" w:space="0" w:color="auto"/>
            <w:left w:val="none" w:sz="0" w:space="0" w:color="auto"/>
            <w:bottom w:val="none" w:sz="0" w:space="0" w:color="auto"/>
            <w:right w:val="none" w:sz="0" w:space="0" w:color="auto"/>
          </w:divBdr>
        </w:div>
        <w:div w:id="1585189581">
          <w:marLeft w:val="1166"/>
          <w:marRight w:val="0"/>
          <w:marTop w:val="0"/>
          <w:marBottom w:val="0"/>
          <w:divBdr>
            <w:top w:val="none" w:sz="0" w:space="0" w:color="auto"/>
            <w:left w:val="none" w:sz="0" w:space="0" w:color="auto"/>
            <w:bottom w:val="none" w:sz="0" w:space="0" w:color="auto"/>
            <w:right w:val="none" w:sz="0" w:space="0" w:color="auto"/>
          </w:divBdr>
        </w:div>
        <w:div w:id="2109496193">
          <w:marLeft w:val="1166"/>
          <w:marRight w:val="0"/>
          <w:marTop w:val="0"/>
          <w:marBottom w:val="0"/>
          <w:divBdr>
            <w:top w:val="none" w:sz="0" w:space="0" w:color="auto"/>
            <w:left w:val="none" w:sz="0" w:space="0" w:color="auto"/>
            <w:bottom w:val="none" w:sz="0" w:space="0" w:color="auto"/>
            <w:right w:val="none" w:sz="0" w:space="0" w:color="auto"/>
          </w:divBdr>
        </w:div>
        <w:div w:id="769131342">
          <w:marLeft w:val="1166"/>
          <w:marRight w:val="0"/>
          <w:marTop w:val="0"/>
          <w:marBottom w:val="0"/>
          <w:divBdr>
            <w:top w:val="none" w:sz="0" w:space="0" w:color="auto"/>
            <w:left w:val="none" w:sz="0" w:space="0" w:color="auto"/>
            <w:bottom w:val="none" w:sz="0" w:space="0" w:color="auto"/>
            <w:right w:val="none" w:sz="0" w:space="0" w:color="auto"/>
          </w:divBdr>
        </w:div>
        <w:div w:id="60755642">
          <w:marLeft w:val="547"/>
          <w:marRight w:val="0"/>
          <w:marTop w:val="0"/>
          <w:marBottom w:val="0"/>
          <w:divBdr>
            <w:top w:val="none" w:sz="0" w:space="0" w:color="auto"/>
            <w:left w:val="none" w:sz="0" w:space="0" w:color="auto"/>
            <w:bottom w:val="none" w:sz="0" w:space="0" w:color="auto"/>
            <w:right w:val="none" w:sz="0" w:space="0" w:color="auto"/>
          </w:divBdr>
        </w:div>
        <w:div w:id="361782070">
          <w:marLeft w:val="1166"/>
          <w:marRight w:val="0"/>
          <w:marTop w:val="0"/>
          <w:marBottom w:val="0"/>
          <w:divBdr>
            <w:top w:val="none" w:sz="0" w:space="0" w:color="auto"/>
            <w:left w:val="none" w:sz="0" w:space="0" w:color="auto"/>
            <w:bottom w:val="none" w:sz="0" w:space="0" w:color="auto"/>
            <w:right w:val="none" w:sz="0" w:space="0" w:color="auto"/>
          </w:divBdr>
        </w:div>
        <w:div w:id="1240024354">
          <w:marLeft w:val="1166"/>
          <w:marRight w:val="0"/>
          <w:marTop w:val="0"/>
          <w:marBottom w:val="0"/>
          <w:divBdr>
            <w:top w:val="none" w:sz="0" w:space="0" w:color="auto"/>
            <w:left w:val="none" w:sz="0" w:space="0" w:color="auto"/>
            <w:bottom w:val="none" w:sz="0" w:space="0" w:color="auto"/>
            <w:right w:val="none" w:sz="0" w:space="0" w:color="auto"/>
          </w:divBdr>
        </w:div>
        <w:div w:id="11152461">
          <w:marLeft w:val="1166"/>
          <w:marRight w:val="0"/>
          <w:marTop w:val="0"/>
          <w:marBottom w:val="0"/>
          <w:divBdr>
            <w:top w:val="none" w:sz="0" w:space="0" w:color="auto"/>
            <w:left w:val="none" w:sz="0" w:space="0" w:color="auto"/>
            <w:bottom w:val="none" w:sz="0" w:space="0" w:color="auto"/>
            <w:right w:val="none" w:sz="0" w:space="0" w:color="auto"/>
          </w:divBdr>
        </w:div>
        <w:div w:id="725033862">
          <w:marLeft w:val="547"/>
          <w:marRight w:val="0"/>
          <w:marTop w:val="0"/>
          <w:marBottom w:val="0"/>
          <w:divBdr>
            <w:top w:val="none" w:sz="0" w:space="0" w:color="auto"/>
            <w:left w:val="none" w:sz="0" w:space="0" w:color="auto"/>
            <w:bottom w:val="none" w:sz="0" w:space="0" w:color="auto"/>
            <w:right w:val="none" w:sz="0" w:space="0" w:color="auto"/>
          </w:divBdr>
        </w:div>
      </w:divsChild>
    </w:div>
    <w:div w:id="1520967934">
      <w:bodyDiv w:val="1"/>
      <w:marLeft w:val="0"/>
      <w:marRight w:val="0"/>
      <w:marTop w:val="0"/>
      <w:marBottom w:val="0"/>
      <w:divBdr>
        <w:top w:val="none" w:sz="0" w:space="0" w:color="auto"/>
        <w:left w:val="none" w:sz="0" w:space="0" w:color="auto"/>
        <w:bottom w:val="none" w:sz="0" w:space="0" w:color="auto"/>
        <w:right w:val="none" w:sz="0" w:space="0" w:color="auto"/>
      </w:divBdr>
    </w:div>
    <w:div w:id="2046178128">
      <w:bodyDiv w:val="1"/>
      <w:marLeft w:val="0"/>
      <w:marRight w:val="0"/>
      <w:marTop w:val="0"/>
      <w:marBottom w:val="0"/>
      <w:divBdr>
        <w:top w:val="none" w:sz="0" w:space="0" w:color="auto"/>
        <w:left w:val="none" w:sz="0" w:space="0" w:color="auto"/>
        <w:bottom w:val="none" w:sz="0" w:space="0" w:color="auto"/>
        <w:right w:val="none" w:sz="0" w:space="0" w:color="auto"/>
      </w:divBdr>
      <w:divsChild>
        <w:div w:id="586035499">
          <w:marLeft w:val="547"/>
          <w:marRight w:val="0"/>
          <w:marTop w:val="77"/>
          <w:marBottom w:val="0"/>
          <w:divBdr>
            <w:top w:val="none" w:sz="0" w:space="0" w:color="auto"/>
            <w:left w:val="none" w:sz="0" w:space="0" w:color="auto"/>
            <w:bottom w:val="none" w:sz="0" w:space="0" w:color="auto"/>
            <w:right w:val="none" w:sz="0" w:space="0" w:color="auto"/>
          </w:divBdr>
        </w:div>
        <w:div w:id="274949307">
          <w:marLeft w:val="1166"/>
          <w:marRight w:val="0"/>
          <w:marTop w:val="77"/>
          <w:marBottom w:val="0"/>
          <w:divBdr>
            <w:top w:val="none" w:sz="0" w:space="0" w:color="auto"/>
            <w:left w:val="none" w:sz="0" w:space="0" w:color="auto"/>
            <w:bottom w:val="none" w:sz="0" w:space="0" w:color="auto"/>
            <w:right w:val="none" w:sz="0" w:space="0" w:color="auto"/>
          </w:divBdr>
        </w:div>
        <w:div w:id="609818371">
          <w:marLeft w:val="1166"/>
          <w:marRight w:val="0"/>
          <w:marTop w:val="77"/>
          <w:marBottom w:val="0"/>
          <w:divBdr>
            <w:top w:val="none" w:sz="0" w:space="0" w:color="auto"/>
            <w:left w:val="none" w:sz="0" w:space="0" w:color="auto"/>
            <w:bottom w:val="none" w:sz="0" w:space="0" w:color="auto"/>
            <w:right w:val="none" w:sz="0" w:space="0" w:color="auto"/>
          </w:divBdr>
        </w:div>
        <w:div w:id="1662270195">
          <w:marLeft w:val="547"/>
          <w:marRight w:val="0"/>
          <w:marTop w:val="77"/>
          <w:marBottom w:val="0"/>
          <w:divBdr>
            <w:top w:val="none" w:sz="0" w:space="0" w:color="auto"/>
            <w:left w:val="none" w:sz="0" w:space="0" w:color="auto"/>
            <w:bottom w:val="none" w:sz="0" w:space="0" w:color="auto"/>
            <w:right w:val="none" w:sz="0" w:space="0" w:color="auto"/>
          </w:divBdr>
        </w:div>
        <w:div w:id="2132672654">
          <w:marLeft w:val="547"/>
          <w:marRight w:val="0"/>
          <w:marTop w:val="77"/>
          <w:marBottom w:val="0"/>
          <w:divBdr>
            <w:top w:val="none" w:sz="0" w:space="0" w:color="auto"/>
            <w:left w:val="none" w:sz="0" w:space="0" w:color="auto"/>
            <w:bottom w:val="none" w:sz="0" w:space="0" w:color="auto"/>
            <w:right w:val="none" w:sz="0" w:space="0" w:color="auto"/>
          </w:divBdr>
        </w:div>
        <w:div w:id="558319535">
          <w:marLeft w:val="547"/>
          <w:marRight w:val="0"/>
          <w:marTop w:val="77"/>
          <w:marBottom w:val="0"/>
          <w:divBdr>
            <w:top w:val="none" w:sz="0" w:space="0" w:color="auto"/>
            <w:left w:val="none" w:sz="0" w:space="0" w:color="auto"/>
            <w:bottom w:val="none" w:sz="0" w:space="0" w:color="auto"/>
            <w:right w:val="none" w:sz="0" w:space="0" w:color="auto"/>
          </w:divBdr>
        </w:div>
        <w:div w:id="1983732775">
          <w:marLeft w:val="547"/>
          <w:marRight w:val="0"/>
          <w:marTop w:val="77"/>
          <w:marBottom w:val="0"/>
          <w:divBdr>
            <w:top w:val="none" w:sz="0" w:space="0" w:color="auto"/>
            <w:left w:val="none" w:sz="0" w:space="0" w:color="auto"/>
            <w:bottom w:val="none" w:sz="0" w:space="0" w:color="auto"/>
            <w:right w:val="none" w:sz="0" w:space="0" w:color="auto"/>
          </w:divBdr>
        </w:div>
      </w:divsChild>
    </w:div>
    <w:div w:id="20563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2904</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One Rowley</dc:creator>
  <cp:keywords/>
  <dc:description/>
  <cp:lastModifiedBy>Eline Korenromp</cp:lastModifiedBy>
  <cp:revision>2</cp:revision>
  <cp:lastPrinted>2020-06-10T16:01:00Z</cp:lastPrinted>
  <dcterms:created xsi:type="dcterms:W3CDTF">2020-08-04T09:20:00Z</dcterms:created>
  <dcterms:modified xsi:type="dcterms:W3CDTF">2020-08-04T09:20:00Z</dcterms:modified>
</cp:coreProperties>
</file>